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8B230" w14:textId="43E03AAA" w:rsidR="00ED65B1" w:rsidRDefault="00A7755C" w:rsidP="00A7755C">
      <w:pPr>
        <w:pStyle w:val="Heading1"/>
        <w:numPr>
          <w:ilvl w:val="0"/>
          <w:numId w:val="0"/>
        </w:numPr>
        <w:spacing w:after="0"/>
        <w:ind w:left="720"/>
      </w:pPr>
      <w:r>
        <w:t xml:space="preserve">        INFLUENCE OF PSYCHOLOGICAL WELL-BEING AND </w:t>
      </w:r>
    </w:p>
    <w:p w14:paraId="4D48D93E" w14:textId="2E9F63EA" w:rsidR="00ED65B1" w:rsidRDefault="00000000">
      <w:pPr>
        <w:spacing w:after="175" w:line="257" w:lineRule="auto"/>
        <w:ind w:left="0" w:right="0" w:firstLine="0"/>
        <w:jc w:val="center"/>
      </w:pPr>
      <w:r>
        <w:rPr>
          <w:b/>
        </w:rPr>
        <w:t xml:space="preserve"/>
      </w:r>
      <w:r w:rsidR="00A7755C">
        <w:rPr>
          <w:b/>
        </w:rPr>
        <w:t/>
      </w:r>
      <w:r>
        <w:rPr>
          <w:b/>
        </w:rPr>
        <w:t xml:space="preserve"/>
      </w:r>
    </w:p>
    <w:p w14:paraId="5D88BCB0" w14:textId="6B8BA12F" w:rsidR="00ED65B1" w:rsidRDefault="00ED65B1">
      <w:pPr>
        <w:spacing w:after="158" w:line="259" w:lineRule="auto"/>
        <w:ind w:left="0" w:right="0" w:firstLine="0"/>
        <w:jc w:val="left"/>
      </w:pPr>
    </w:p>
    <w:p w14:paraId="61BB833A" w14:textId="77777777" w:rsidR="00ED65B1" w:rsidRDefault="00000000">
      <w:pPr>
        <w:pStyle w:val="Heading1"/>
        <w:numPr>
          <w:ilvl w:val="0"/>
          <w:numId w:val="0"/>
        </w:numPr>
        <w:ind w:left="-5"/>
      </w:pPr>
      <w:r>
        <w:t xml:space="preserve">Abstract </w:t>
      </w:r>
    </w:p>
    <w:p w14:paraId="71A6395C" w14:textId="7A68C5B2" w:rsidR="00ED65B1" w:rsidRDefault="00000000">
      <w:pPr>
        <w:ind w:left="-5" w:right="0"/>
      </w:pPr>
      <w:r>
        <w:t xml:space="preserve">Organizational Citizenship Behavior (OCB) is receiving increasing attention in human resource management, especially in the high-intensity </w:t>
      </w:r>
      <w:r w:rsidR="00A7755C">
        <w:t>hotel industry</w:t>
      </w:r>
      <w:r>
        <w:t>. In the context of hospit</w:t>
      </w:r>
      <w:r w:rsidR="00A7755C">
        <w:t>ality</w:t>
      </w:r>
      <w:r>
        <w:t xml:space="preserve"> in Malaysia, issues such as staff shortages, high turnover rates, and job stress after the COVID-19 pandemic demand a focus on internal factors that can contribute to organizational survival and effectiveness. This conceptual study aims to explore the influence of psychological well-being and self efficacy on the tendency for employees to exhibit OCB. Based on previous literature reviews, these two variables have been identified as important drivers of positive workplace behavior. This study also proposes a quantitative methodological framework with a cross-sectional design approach involving data collection through structured questionnaires, as well as proposed analyses using SPSS and PLS-SEM. It is hoped that these conceptual implications can provide initial guidance to researchers and hospital management in designing intervention strategies that support human capital development and improve overall organizational performance. </w:t>
      </w:r>
    </w:p>
    <w:p w14:paraId="10F370D7" w14:textId="77777777" w:rsidR="00ED65B1" w:rsidRDefault="00000000">
      <w:pPr>
        <w:ind w:left="-5" w:right="0"/>
      </w:pPr>
      <w:r>
        <w:t xml:space="preserve">Keywords: Organizational Citizenship Behavior, psychological well-being, self-efficacy </w:t>
      </w:r>
    </w:p>
    <w:p w14:paraId="663CA9AA" w14:textId="77777777" w:rsidR="00ED65B1" w:rsidRDefault="00000000">
      <w:pPr>
        <w:spacing w:after="158" w:line="259" w:lineRule="auto"/>
        <w:ind w:left="0" w:right="0" w:firstLine="0"/>
        <w:jc w:val="left"/>
      </w:pPr>
      <w:r>
        <w:rPr>
          <w:b/>
        </w:rPr>
        <w:t xml:space="preserve"> </w:t>
      </w:r>
    </w:p>
    <w:p w14:paraId="4045DC7D" w14:textId="77777777" w:rsidR="00ED65B1" w:rsidRDefault="00000000">
      <w:pPr>
        <w:pStyle w:val="Heading1"/>
        <w:numPr>
          <w:ilvl w:val="0"/>
          <w:numId w:val="0"/>
        </w:numPr>
        <w:ind w:left="-5"/>
      </w:pPr>
      <w:r>
        <w:t xml:space="preserve">Introduction </w:t>
      </w:r>
    </w:p>
    <w:p w14:paraId="5328794E" w14:textId="6872F7EE" w:rsidR="00ED65B1" w:rsidRDefault="00000000">
      <w:pPr>
        <w:ind w:left="-5" w:right="0"/>
      </w:pPr>
      <w:r>
        <w:t xml:space="preserve">In the post-pandemic era and organizational transformation, the </w:t>
      </w:r>
      <w:r w:rsidR="00A7755C">
        <w:t xml:space="preserve">hotel </w:t>
      </w:r>
      <w:r>
        <w:t>sector is now facing major challenges involving workforce shortages, high turnover rates, and increasing work stress. The shortage staff in the h</w:t>
      </w:r>
      <w:r w:rsidR="00A7755C">
        <w:t xml:space="preserve">otel </w:t>
      </w:r>
      <w:r>
        <w:t xml:space="preserve">sector has been identified as </w:t>
      </w:r>
      <w:r w:rsidR="00A7755C">
        <w:t xml:space="preserve">pressing challenge to hotel industry </w:t>
      </w:r>
      <w:r w:rsidR="00A7755C" w:rsidRPr="00D77466">
        <w:t>(Ghazali</w:t>
      </w:r>
      <w:r w:rsidR="00A7755C" w:rsidRPr="00D77466">
        <w:rPr>
          <w:lang w:val="en-MY" w:eastAsia="en-GB"/>
        </w:rPr>
        <w:t xml:space="preserve"> &amp; Ishak, 2021; Sangaran &amp; Selvanayagam, 2021; </w:t>
      </w:r>
      <w:sdt>
        <w:sdtPr>
          <w:rPr>
            <w:lang w:val="en-MY" w:eastAsia="en-GB"/>
          </w:rPr>
          <w:tag w:val="MENDELEY_CITATION_v3_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"/>
          <w:id w:val="-1482149751"/>
          <w:placeholder>
            <w:docPart w:val="07B697FA7BED5440978216F08D9C56AF"/>
          </w:placeholder>
        </w:sdtPr>
        <w:sdtContent>
          <w:r w:rsidR="00A7755C" w:rsidRPr="00D77466">
            <w:rPr>
              <w:lang w:val="en-MY" w:eastAsia="en-GB"/>
            </w:rPr>
            <w:t>Ma et al., 2023)</w:t>
          </w:r>
        </w:sdtContent>
      </w:sdt>
      <w:r w:rsidR="00A7755C" w:rsidRPr="00D77466">
        <w:rPr>
          <w:lang w:val="en-MY" w:eastAsia="en-GB"/>
        </w:rPr>
        <w:t>.</w:t>
      </w:r>
      <w:r w:rsidR="00A7755C" w:rsidRPr="00D77466">
        <w:t xml:space="preserve"> According to reports, Malaysian hotels have an annual turnover rate of 25% to 30%, which seriously compromises operational effectiveness and service consistency (</w:t>
      </w:r>
      <w:r w:rsidR="00A7755C" w:rsidRPr="00D77466">
        <w:rPr>
          <w:lang w:val="en-MY" w:eastAsia="en-GB"/>
        </w:rPr>
        <w:t>Bahari et al., 2025</w:t>
      </w:r>
      <w:r w:rsidR="00A7755C" w:rsidRPr="00A731AC">
        <w:rPr>
          <w:lang w:val="en-MY" w:eastAsia="en-GB"/>
        </w:rPr>
        <w:t>)</w:t>
      </w:r>
      <w:r>
        <w:t xml:space="preserve">, </w:t>
      </w:r>
      <w:r w:rsidR="002D16DF">
        <w:t xml:space="preserve">It a </w:t>
      </w:r>
      <w:r>
        <w:t>critical human resource challenges.</w:t>
      </w:r>
    </w:p>
    <w:p w14:paraId="52C293A1" w14:textId="77777777" w:rsidR="00ED65B1" w:rsidRDefault="00000000">
      <w:pPr>
        <w:ind w:left="-5" w:right="0"/>
      </w:pPr>
      <w:r>
        <w:t xml:space="preserve">In the face of this reality, organizations need to rely not only on the performance of formal tasks (in-role behavior), but also on Organizational Citizenship Behavior (OCB), which is the voluntary actions of employees that go beyond the scope of their duties, such as helping colleagues, taking initiatives, and supporting organizational goals (Sun &amp; Yoon, 2022; Arifin et al., 2022). Although OCB offers great potential in improving organizational performance and resilience, this behavior is still underemphasized in many organizations. Therefore, understanding the factors that influence OCB is an important requirement, especially in critical sectors such as healthcare. </w:t>
      </w:r>
    </w:p>
    <w:p w14:paraId="0DA66FB8" w14:textId="77777777" w:rsidR="00ED65B1" w:rsidRDefault="00000000">
      <w:pPr>
        <w:ind w:left="-5" w:right="0"/>
      </w:pPr>
      <w:r>
        <w:t xml:space="preserve">Furthermore, today's workforce landscape is dominated by the millennial generation, which is expected to represent 75% of the global workforce by 2025 (Brant &amp; Castro, 2019). Studies show that millennial workers value extrinsic rewards, status, and free time more than previous generations (Twenge et al., 2010; Campbell et al., 2017). This difference in work values may make them less likely to engage in OCB, which typically requires additional effort beyond their formal job responsibilities. However, in the context of labor shortages and the urgent need to </w:t>
      </w:r>
      <w:r>
        <w:lastRenderedPageBreak/>
        <w:t xml:space="preserve">maintain organizational operations, encouraging OCB among this generation is particularly important (Jnaneswar &amp; Ranjit, 2022; Sangaran &amp; Selvanayagam, 2021). </w:t>
      </w:r>
    </w:p>
    <w:p w14:paraId="45188C5B" w14:textId="77777777" w:rsidR="00ED65B1" w:rsidRDefault="00000000">
      <w:pPr>
        <w:ind w:left="-5" w:right="0"/>
      </w:pPr>
      <w:r>
        <w:t xml:space="preserve">Literature reviews show that internal factors such as psychological well-being and self-efficacy play an important role in driving OCB. Individuals with high levels of self-efficacy are more likely to exhibit OCB behaviors (Anfajaya &amp; Rahayu, 2019; Rahman &amp; Karim, 2022), while psychological well-being is also associated with increased positive attitudes and motivation among employees.Therefore, this conceptual paper builds a theoretical foundation to understand the role of psychological well-being and self-efficacy in influencing organizational citizenship behavior among healthcare workers. Through a review of the existing literature and the proposed theoretical relationships, this study provides a foundation for potential future empirical research. Accordingly, the objectives of this study are as follows: </w:t>
      </w:r>
    </w:p>
    <w:p w14:paraId="59CD66D5" w14:textId="77777777" w:rsidR="00ED65B1" w:rsidRDefault="00000000">
      <w:pPr>
        <w:numPr>
          <w:ilvl w:val="0"/>
          <w:numId w:val="1"/>
        </w:numPr>
        <w:spacing w:after="19"/>
        <w:ind w:right="0" w:hanging="360"/>
      </w:pPr>
      <w:r>
        <w:t xml:space="preserve">To examine the influence of psychological well-being on organizational citizenship behavior. </w:t>
      </w:r>
    </w:p>
    <w:p w14:paraId="37EEE92C" w14:textId="77777777" w:rsidR="00ED65B1" w:rsidRDefault="00000000">
      <w:pPr>
        <w:numPr>
          <w:ilvl w:val="0"/>
          <w:numId w:val="1"/>
        </w:numPr>
        <w:ind w:right="0" w:hanging="360"/>
      </w:pPr>
      <w:r>
        <w:t>To examine the influence of employee self-efficacy on organizational citizenship behavior</w:t>
      </w:r>
      <w:r>
        <w:rPr>
          <w:b/>
        </w:rPr>
        <w:t xml:space="preserve"> </w:t>
      </w:r>
    </w:p>
    <w:p w14:paraId="6374171F" w14:textId="77777777" w:rsidR="00ED65B1" w:rsidRDefault="00000000">
      <w:pPr>
        <w:spacing w:after="158" w:line="259" w:lineRule="auto"/>
        <w:ind w:left="0" w:right="0" w:firstLine="0"/>
        <w:jc w:val="left"/>
      </w:pPr>
      <w:r>
        <w:rPr>
          <w:b/>
        </w:rPr>
        <w:t xml:space="preserve"> </w:t>
      </w:r>
    </w:p>
    <w:p w14:paraId="77A7EDCE" w14:textId="77777777" w:rsidR="00ED65B1" w:rsidRDefault="00000000">
      <w:pPr>
        <w:spacing w:after="158" w:line="259" w:lineRule="auto"/>
        <w:ind w:left="0" w:right="0" w:firstLine="0"/>
        <w:jc w:val="left"/>
      </w:pPr>
      <w:r>
        <w:rPr>
          <w:b/>
        </w:rPr>
        <w:t xml:space="preserve"> </w:t>
      </w:r>
    </w:p>
    <w:p w14:paraId="005AE71C" w14:textId="77777777" w:rsidR="00ED65B1" w:rsidRDefault="00000000">
      <w:pPr>
        <w:spacing w:after="158" w:line="259" w:lineRule="auto"/>
        <w:ind w:left="0" w:right="0" w:firstLine="0"/>
        <w:jc w:val="left"/>
      </w:pPr>
      <w:r>
        <w:rPr>
          <w:b/>
        </w:rPr>
        <w:t xml:space="preserve"> </w:t>
      </w:r>
    </w:p>
    <w:p w14:paraId="3A60C69C" w14:textId="77777777" w:rsidR="00ED65B1" w:rsidRDefault="00000000">
      <w:pPr>
        <w:pStyle w:val="Heading1"/>
        <w:ind w:left="225" w:hanging="240"/>
      </w:pPr>
      <w:r>
        <w:t xml:space="preserve">Literature Review </w:t>
      </w:r>
    </w:p>
    <w:p w14:paraId="2DB0134F" w14:textId="77777777" w:rsidR="00ED65B1" w:rsidRDefault="00000000">
      <w:pPr>
        <w:pStyle w:val="Heading2"/>
        <w:ind w:left="345" w:hanging="360"/>
      </w:pPr>
      <w:r>
        <w:t xml:space="preserve">Organizational Citizenship Behavior (OCB) </w:t>
      </w:r>
    </w:p>
    <w:p w14:paraId="56E18E3F" w14:textId="77777777" w:rsidR="00ED65B1" w:rsidRDefault="00000000">
      <w:pPr>
        <w:ind w:left="-5" w:right="0"/>
      </w:pPr>
      <w:r>
        <w:t xml:space="preserve">Organizational Citizenship Behavior (OCB) refers to voluntary actions of employees that go beyond their formal job responsibilities, without direct reward, but contribute to the smooth running and success of the organization (Buil et al., 2019; Yang et al., 2021). These behaviors include helping colleagues complete tasks, participating in organizational activities without coercion, and complying with organizational rules even when there is no direct supervision (Mangindaan &amp; Tewal, 2020; Arifin et al., 2022). </w:t>
      </w:r>
    </w:p>
    <w:p w14:paraId="261AEAD8" w14:textId="77777777" w:rsidR="00ED65B1" w:rsidRDefault="00000000">
      <w:pPr>
        <w:ind w:left="-5" w:right="0"/>
      </w:pPr>
      <w:r>
        <w:t xml:space="preserve">Organ (1998) asserted that OCB is characterized by an individual's commitment to the organization, including efforts such as being punctual, helping colleagues, and avoiding conflict. These behaviors foster a positive work environment, enhance teamwork, and support operational effectiveness (Smirti, 2021; Udin &amp; Yuniawan, 2020). Therefore, identifying the factors that drive OCB is important to create a work culture that supports high performance and organizational sustainability (Abbasi &amp; Wan Ismail, 2023; Sumardjo &amp; Supriadi, 2023). </w:t>
      </w:r>
    </w:p>
    <w:p w14:paraId="71B01FC8" w14:textId="77777777" w:rsidR="00ED65B1" w:rsidRDefault="00000000">
      <w:pPr>
        <w:pStyle w:val="Heading2"/>
        <w:ind w:left="345" w:hanging="360"/>
      </w:pPr>
      <w:r>
        <w:t xml:space="preserve">Psychological Well-Being </w:t>
      </w:r>
    </w:p>
    <w:p w14:paraId="0CC02828" w14:textId="77777777" w:rsidR="00ED65B1" w:rsidRDefault="00000000">
      <w:pPr>
        <w:ind w:left="-5" w:right="0"/>
      </w:pPr>
      <w:r>
        <w:t xml:space="preserve">Psychological well-being involves elements of self-esteem, self-control, healthy social relationships, and a sense of meaning in life (Arifin et al., 2022; Kinowska &amp; Sienkiewicz, 2023). In service sectors such as healthcare, psychological well-being is important to help employees deal with emotional stress and daily job challenges (Ali et al., 2022; Firdayanti, 2022). </w:t>
      </w:r>
    </w:p>
    <w:p w14:paraId="42D13A9B" w14:textId="77777777" w:rsidR="00ED65B1" w:rsidRDefault="00000000">
      <w:pPr>
        <w:ind w:left="-5" w:right="0"/>
      </w:pPr>
      <w:r>
        <w:t xml:space="preserve">Studies show that psychological well-being has a significant relationship with OCB. Employees who are in a good mental state are more likely to engage in OCB because they have sufficient psychological resources to deal with work demands (Rahman &amp; Karim, 2022). Social </w:t>
      </w:r>
      <w:r>
        <w:lastRenderedPageBreak/>
        <w:t xml:space="preserve">Exchange Theory states that employees who feel supported and appreciated by the organization tend to reciprocate with positive behaviors such as OCB (Eisenberger et al., 1997; Maan et al., 2020). </w:t>
      </w:r>
    </w:p>
    <w:p w14:paraId="6FC22F5C" w14:textId="77777777" w:rsidR="00ED65B1" w:rsidRDefault="00000000">
      <w:pPr>
        <w:ind w:left="-5" w:right="0"/>
      </w:pPr>
      <w:r>
        <w:t xml:space="preserve">In addition, ergonomic work environments can also impact employee well-being and behavior (Latip et al., 2022). Therefore, organizations that foster psychological well-being have the potential to reduce turnover rates and improve performance through increased OCB (Afram et al., 2022; Caroll, 1989). Based on these insights, the following hypothesis is proposed for further investigation. </w:t>
      </w:r>
    </w:p>
    <w:p w14:paraId="079FE193" w14:textId="77777777" w:rsidR="00ED65B1" w:rsidRDefault="00000000">
      <w:pPr>
        <w:ind w:left="-5" w:right="0"/>
      </w:pPr>
      <w:r>
        <w:t xml:space="preserve">H1: There is a significant relationship between employees’ psychological well-being and organizational citizenship behaviour. </w:t>
      </w:r>
    </w:p>
    <w:p w14:paraId="1B9D6F57" w14:textId="77777777" w:rsidR="00ED65B1" w:rsidRDefault="00000000">
      <w:pPr>
        <w:pStyle w:val="Heading2"/>
        <w:ind w:left="345" w:hanging="360"/>
      </w:pPr>
      <w:r>
        <w:t xml:space="preserve">Self-Efficacy </w:t>
      </w:r>
    </w:p>
    <w:p w14:paraId="01C51328" w14:textId="77777777" w:rsidR="00ED65B1" w:rsidRDefault="00000000">
      <w:pPr>
        <w:ind w:left="-5" w:right="0"/>
      </w:pPr>
      <w:r>
        <w:t xml:space="preserve">Self-efficacy refers to an individual’s belief in their ability to perform tasks effectively and achieve specific goals (Bandura, 1997; 2016). It operates through four basic processes: cognitive, motivational, emotional, and selection. Factors such as performance outcomes, representative experiences, social training, and emotional and physiological states play important roles in the formation of self-efficacy (Dani Saadi, 2021; Lopez, 2020). </w:t>
      </w:r>
    </w:p>
    <w:p w14:paraId="007CA201" w14:textId="77777777" w:rsidR="00ED65B1" w:rsidRDefault="00000000">
      <w:pPr>
        <w:ind w:left="-5" w:right="0"/>
      </w:pPr>
      <w:r>
        <w:t xml:space="preserve">Employees with self-efficacy are more willing to face challenges and contribute to the organization through OCB (Latip et al., 2020). They do not undertake challenging tasks, but rather see them as opportunities to grow. Studies by Anfajaya &amp; Rahayu (2019), Prasetyo et al. (2022), and Mahipalan et al. (2019) support that self-efficacy has a positive and significant relationship with OCB. Individuals who are confident in their abilities also tend to show additional initiative and commitment at work. </w:t>
      </w:r>
    </w:p>
    <w:p w14:paraId="485FA3E2" w14:textId="77777777" w:rsidR="00ED65B1" w:rsidRDefault="00000000">
      <w:pPr>
        <w:ind w:left="-5" w:right="0"/>
      </w:pPr>
      <w:r>
        <w:t xml:space="preserve">Thus, based on the above literature, the following hypothesis is proposed:    </w:t>
      </w:r>
    </w:p>
    <w:p w14:paraId="181EE353" w14:textId="77777777" w:rsidR="00ED65B1" w:rsidRDefault="00000000">
      <w:pPr>
        <w:ind w:left="-5" w:right="0"/>
      </w:pPr>
      <w:r>
        <w:t xml:space="preserve">H2: There is a significant relationship between employees’ self-efficacy and organizational citizenship behaviour. </w:t>
      </w:r>
    </w:p>
    <w:p w14:paraId="74039FCC" w14:textId="77777777" w:rsidR="00ED65B1" w:rsidRDefault="00000000">
      <w:pPr>
        <w:ind w:left="-5" w:right="0"/>
      </w:pPr>
      <w:r>
        <w:t xml:space="preserve">Table 1: Summary of the proposed hypothesis </w:t>
      </w:r>
    </w:p>
    <w:p w14:paraId="4A163B3D" w14:textId="2AC5E10B" w:rsidR="00ED65B1" w:rsidRDefault="00000000">
      <w:pPr>
        <w:pStyle w:val="Heading1"/>
        <w:numPr>
          <w:ilvl w:val="0"/>
          <w:numId w:val="0"/>
        </w:numPr>
        <w:spacing w:after="0"/>
        <w:ind w:left="-5"/>
      </w:pPr>
      <w:r>
        <w:rPr>
          <w:rFonts w:ascii="Calibri" w:eastAsia="Calibri" w:hAnsi="Calibri" w:cs="Calibri"/>
          <w:noProof/>
          <w:sz w:val="22"/>
        </w:rPr>
        <mc:AlternateContent>
          <mc:Choice Requires="wpg">
            <w:drawing>
              <wp:inline distT="0" distB="0" distL="0" distR="0" wp14:anchorId="3D86126E" wp14:editId="5B7DE0EC">
                <wp:extent cx="5726507" cy="187452"/>
                <wp:effectExtent l="0" t="0" r="0" b="0"/>
                <wp:docPr id="8387" name="Group 8387"/>
                <wp:cNvGraphicFramePr/>
                <a:graphic xmlns:a="http://schemas.openxmlformats.org/drawingml/2006/main">
                  <a:graphicData uri="http://schemas.microsoft.com/office/word/2010/wordprocessingGroup">
                    <wpg:wgp>
                      <wpg:cNvGrpSpPr/>
                      <wpg:grpSpPr>
                        <a:xfrm>
                          <a:off x="0" y="0"/>
                          <a:ext cx="5726507" cy="187452"/>
                          <a:chOff x="0" y="0"/>
                          <a:chExt cx="5726507" cy="187452"/>
                        </a:xfrm>
                      </wpg:grpSpPr>
                      <wps:wsp>
                        <wps:cNvPr id="674" name="Rectangle 674"/>
                        <wps:cNvSpPr/>
                        <wps:spPr>
                          <a:xfrm>
                            <a:off x="2681046" y="44615"/>
                            <a:ext cx="958328" cy="181116"/>
                          </a:xfrm>
                          <a:prstGeom prst="rect">
                            <a:avLst/>
                          </a:prstGeom>
                          <a:ln>
                            <a:noFill/>
                          </a:ln>
                        </wps:spPr>
                        <wps:txbx>
                          <w:txbxContent>
                            <w:p w14:paraId="72B01E98" w14:textId="77777777" w:rsidR="00ED65B1" w:rsidRDefault="00000000">
                              <w:pPr>
                                <w:spacing w:after="160" w:line="259" w:lineRule="auto"/>
                                <w:ind w:left="0" w:right="0" w:firstLine="0"/>
                                <w:jc w:val="left"/>
                              </w:pPr>
                              <w:r>
                                <w:rPr>
                                  <w:b/>
                                </w:rPr>
                                <w:t>Hypothesis</w:t>
                              </w:r>
                            </w:p>
                          </w:txbxContent>
                        </wps:txbx>
                        <wps:bodyPr horzOverflow="overflow" vert="horz" lIns="0" tIns="0" rIns="0" bIns="0" rtlCol="0">
                          <a:noAutofit/>
                        </wps:bodyPr>
                      </wps:wsp>
                      <wps:wsp>
                        <wps:cNvPr id="675" name="Rectangle 675"/>
                        <wps:cNvSpPr/>
                        <wps:spPr>
                          <a:xfrm>
                            <a:off x="3400628" y="44615"/>
                            <a:ext cx="50673" cy="181116"/>
                          </a:xfrm>
                          <a:prstGeom prst="rect">
                            <a:avLst/>
                          </a:prstGeom>
                          <a:ln>
                            <a:noFill/>
                          </a:ln>
                        </wps:spPr>
                        <wps:txbx>
                          <w:txbxContent>
                            <w:p w14:paraId="38ACB5A8" w14:textId="77777777" w:rsidR="00ED65B1"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9681" name="Shape 9681"/>
                        <wps:cNvSpPr/>
                        <wps:spPr>
                          <a:xfrm>
                            <a:off x="0" y="0"/>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3565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Shape 9683"/>
                        <wps:cNvSpPr/>
                        <wps:spPr>
                          <a:xfrm>
                            <a:off x="362661" y="0"/>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4" name="Shape 9684"/>
                        <wps:cNvSpPr/>
                        <wps:spPr>
                          <a:xfrm>
                            <a:off x="0" y="181356"/>
                            <a:ext cx="356616" cy="9144"/>
                          </a:xfrm>
                          <a:custGeom>
                            <a:avLst/>
                            <a:gdLst/>
                            <a:ahLst/>
                            <a:cxnLst/>
                            <a:rect l="0" t="0" r="0" b="0"/>
                            <a:pathLst>
                              <a:path w="356616" h="9144">
                                <a:moveTo>
                                  <a:pt x="0" y="0"/>
                                </a:moveTo>
                                <a:lnTo>
                                  <a:pt x="356616" y="0"/>
                                </a:lnTo>
                                <a:lnTo>
                                  <a:pt x="3566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5" name="Shape 9685"/>
                        <wps:cNvSpPr/>
                        <wps:spPr>
                          <a:xfrm>
                            <a:off x="356565" y="1813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6" name="Shape 9686"/>
                        <wps:cNvSpPr/>
                        <wps:spPr>
                          <a:xfrm>
                            <a:off x="362661" y="181356"/>
                            <a:ext cx="5363845" cy="9144"/>
                          </a:xfrm>
                          <a:custGeom>
                            <a:avLst/>
                            <a:gdLst/>
                            <a:ahLst/>
                            <a:cxnLst/>
                            <a:rect l="0" t="0" r="0" b="0"/>
                            <a:pathLst>
                              <a:path w="5363845" h="9144">
                                <a:moveTo>
                                  <a:pt x="0" y="0"/>
                                </a:moveTo>
                                <a:lnTo>
                                  <a:pt x="5363845" y="0"/>
                                </a:lnTo>
                                <a:lnTo>
                                  <a:pt x="53638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D86126E" id="Group 8387" o:spid="_x0000_s1026" style="width:450.9pt;height:14.75pt;mso-position-horizontal-relative:char;mso-position-vertical-relative:line" coordsize="57265,18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">
                <v:rect id="Rectangle 674" o:spid="_x0000_s1027" style="position:absolute;left:26810;top:446;width:9583;height:1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vgMyQAAAOE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" filled="f" stroked="f">
                  <v:textbox inset="0,0,0,0">
                    <w:txbxContent>
                      <w:p w14:paraId="72B01E98" w14:textId="77777777" w:rsidR="00ED65B1" w:rsidRDefault="00000000">
                        <w:pPr>
                          <w:spacing w:after="160" w:line="259" w:lineRule="auto"/>
                          <w:ind w:left="0" w:right="0" w:firstLine="0"/>
                          <w:jc w:val="left"/>
                        </w:pPr>
                        <w:r>
                          <w:rPr>
                            <w:b/>
                          </w:rPr>
                          <w:t>Hypothesis</w:t>
                        </w:r>
                      </w:p>
                    </w:txbxContent>
                  </v:textbox>
                </v:rect>
                <v:rect id="Rectangle 675" o:spid="_x0000_s1028" style="position:absolute;left:34006;top:446;width:507;height:18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" filled="f" stroked="f">
                  <v:textbox inset="0,0,0,0">
                    <w:txbxContent>
                      <w:p w14:paraId="38ACB5A8" w14:textId="77777777" w:rsidR="00ED65B1" w:rsidRDefault="00000000">
                        <w:pPr>
                          <w:spacing w:after="160" w:line="259" w:lineRule="auto"/>
                          <w:ind w:left="0" w:right="0" w:firstLine="0"/>
                          <w:jc w:val="left"/>
                        </w:pPr>
                        <w:r>
                          <w:rPr>
                            <w:b/>
                          </w:rPr>
                          <w:t xml:space="preserve"> </w:t>
                        </w:r>
                      </w:p>
                    </w:txbxContent>
                  </v:textbox>
                </v:rect>
                <v:shape id="Shape 9681" o:spid="_x0000_s1029" style="position:absolute;width:3566;height:91;visibility:visible;mso-wrap-style:square;v-text-anchor:top" coordsize="3566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" path="m,l356616,r,9144l,9144,,e" fillcolor="black" stroked="f" strokeweight="0">
                  <v:stroke miterlimit="83231f" joinstyle="miter"/>
                  <v:path arrowok="t" textboxrect="0,0,356616,9144"/>
                </v:shape>
                <v:shape id="Shape 9682" o:spid="_x0000_s1030" style="position:absolute;left:3565;width:92;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" path="m,l9144,r,9144l,9144,,e" fillcolor="black" stroked="f" strokeweight="0">
                  <v:stroke miterlimit="83231f" joinstyle="miter"/>
                  <v:path arrowok="t" textboxrect="0,0,9144,9144"/>
                </v:shape>
                <v:shape id="Shape 9683" o:spid="_x0000_s1031" style="position:absolute;left:3626;width:53639;height:91;visibility:visible;mso-wrap-style:square;v-text-anchor:top" coordsize="536384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" path="m,l5363845,r,9144l,9144,,e" fillcolor="black" stroked="f" strokeweight="0">
                  <v:stroke miterlimit="83231f" joinstyle="miter"/>
                  <v:path arrowok="t" textboxrect="0,0,5363845,9144"/>
                </v:shape>
                <v:shape id="Shape 9684" o:spid="_x0000_s1032" style="position:absolute;top:1813;width:3566;height:92;visibility:visible;mso-wrap-style:square;v-text-anchor:top" coordsize="3566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" path="m,l356616,r,9144l,9144,,e" fillcolor="black" stroked="f" strokeweight="0">
                  <v:stroke miterlimit="83231f" joinstyle="miter"/>
                  <v:path arrowok="t" textboxrect="0,0,356616,9144"/>
                </v:shape>
                <v:shape id="Shape 9685" o:spid="_x0000_s1033" style="position:absolute;left:3565;top:1813;width:92;height:92;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" path="m,l9144,r,9144l,9144,,e" fillcolor="black" stroked="f" strokeweight="0">
                  <v:stroke miterlimit="83231f" joinstyle="miter"/>
                  <v:path arrowok="t" textboxrect="0,0,9144,9144"/>
                </v:shape>
                <v:shape id="Shape 9686" o:spid="_x0000_s1034" style="position:absolute;left:3626;top:1813;width:53639;height:92;visibility:visible;mso-wrap-style:square;v-text-anchor:top" coordsize="536384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" path="m,l5363845,r,9144l,9144,,e" fillcolor="black" stroked="f" strokeweight="0">
                  <v:stroke miterlimit="83231f" joinstyle="miter"/>
                  <v:path arrowok="t" textboxrect="0,0,5363845,9144"/>
                </v:shape>
                <w10:anchorlock/>
              </v:group>
            </w:pict>
          </mc:Fallback>
        </mc:AlternateContent>
      </w:r>
    </w:p>
    <w:p w14:paraId="1D33C40D" w14:textId="77777777" w:rsidR="002D16DF" w:rsidRPr="002D16DF" w:rsidRDefault="002D16DF" w:rsidP="002D16DF">
      <w:pPr>
        <w:rPr>
          <w:lang w:val="en-US" w:eastAsia="en-US"/>
        </w:rPr>
      </w:pPr>
    </w:p>
    <w:p w14:paraId="51EB5CD0" w14:textId="77777777" w:rsidR="00ED65B1" w:rsidRDefault="00000000">
      <w:pPr>
        <w:spacing w:after="0"/>
        <w:ind w:left="670" w:right="0" w:hanging="562"/>
      </w:pPr>
      <w:r>
        <w:t xml:space="preserve">H1 There is a significant relationship between employees’ psychological well-being and organizational citizenship behaviour. </w:t>
      </w:r>
    </w:p>
    <w:p w14:paraId="4D54869B" w14:textId="77777777" w:rsidR="00ED65B1" w:rsidRDefault="00000000">
      <w:pPr>
        <w:spacing w:after="0"/>
        <w:ind w:left="670" w:right="0" w:hanging="562"/>
      </w:pPr>
      <w:r>
        <w:t xml:space="preserve">H2 There is a significant relationship between employees’ self-efficacy and organizational citizenship behaviour. </w:t>
      </w:r>
    </w:p>
    <w:p w14:paraId="3EBCC97E" w14:textId="77777777" w:rsidR="00ED65B1" w:rsidRDefault="00000000">
      <w:pPr>
        <w:spacing w:after="0" w:line="259" w:lineRule="auto"/>
        <w:ind w:left="670" w:right="0" w:firstLine="0"/>
        <w:jc w:val="left"/>
      </w:pPr>
      <w:r>
        <w:t xml:space="preserve"> </w:t>
      </w:r>
    </w:p>
    <w:p w14:paraId="6B8AB0CD" w14:textId="77777777" w:rsidR="00ED65B1" w:rsidRDefault="00000000">
      <w:pPr>
        <w:pStyle w:val="Heading1"/>
        <w:numPr>
          <w:ilvl w:val="0"/>
          <w:numId w:val="0"/>
        </w:numPr>
        <w:spacing w:after="97"/>
        <w:ind w:left="-5"/>
      </w:pPr>
      <w:r>
        <w:lastRenderedPageBreak/>
        <w:t xml:space="preserve">Proposed Conceptual Framework </w:t>
      </w:r>
    </w:p>
    <w:p w14:paraId="42AD93FF" w14:textId="77777777" w:rsidR="00ED65B1" w:rsidRDefault="00000000">
      <w:pPr>
        <w:spacing w:after="105" w:line="259" w:lineRule="auto"/>
        <w:ind w:left="0" w:right="3" w:firstLine="0"/>
        <w:jc w:val="right"/>
      </w:pPr>
      <w:r>
        <w:rPr>
          <w:noProof/>
        </w:rPr>
        <w:drawing>
          <wp:inline distT="0" distB="0" distL="0" distR="0" wp14:anchorId="072AAB35" wp14:editId="0AF6D232">
            <wp:extent cx="5659628" cy="1978025"/>
            <wp:effectExtent l="0" t="0" r="0" b="0"/>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5"/>
                    <a:stretch>
                      <a:fillRect/>
                    </a:stretch>
                  </pic:blipFill>
                  <pic:spPr>
                    <a:xfrm>
                      <a:off x="0" y="0"/>
                      <a:ext cx="5659628" cy="1978025"/>
                    </a:xfrm>
                    <a:prstGeom prst="rect">
                      <a:avLst/>
                    </a:prstGeom>
                  </pic:spPr>
                </pic:pic>
              </a:graphicData>
            </a:graphic>
          </wp:inline>
        </w:drawing>
      </w:r>
      <w:r>
        <w:rPr>
          <w:b/>
        </w:rPr>
        <w:t xml:space="preserve"> </w:t>
      </w:r>
    </w:p>
    <w:p w14:paraId="18136A4B" w14:textId="77777777" w:rsidR="00ED65B1" w:rsidRDefault="00000000">
      <w:pPr>
        <w:spacing w:after="147" w:line="269" w:lineRule="auto"/>
        <w:ind w:right="8"/>
        <w:jc w:val="center"/>
      </w:pPr>
      <w:r>
        <w:t xml:space="preserve">Figure 2.1: Proposed Conceptual Paper </w:t>
      </w:r>
    </w:p>
    <w:p w14:paraId="3BE16BC1" w14:textId="77777777" w:rsidR="00ED65B1" w:rsidRDefault="00000000">
      <w:pPr>
        <w:pStyle w:val="Heading1"/>
        <w:ind w:left="225" w:hanging="240"/>
      </w:pPr>
      <w:r>
        <w:t xml:space="preserve">Proposed Methodology </w:t>
      </w:r>
    </w:p>
    <w:p w14:paraId="51EFA0E8" w14:textId="77777777" w:rsidR="00ED65B1" w:rsidRDefault="00000000">
      <w:pPr>
        <w:ind w:left="-5" w:right="0"/>
      </w:pPr>
      <w:r>
        <w:t xml:space="preserve">This study will use a quantitative approach with a cross-sectional design to investigate the relationship between psychological well-being, self-efficacy, and organizational citizenship behaviour among employees in the healthcare sector. Data will be collected through a structured questionnaire distributed online using Google Forms, to facilitate respondent access and expedite the data collection process. Simple random sampling will be applied to ensure that each employee has an equal opportunity to participate in the study, thus increasing the feasibility and accuracy of the study results. </w:t>
      </w:r>
    </w:p>
    <w:p w14:paraId="70FCBD4B" w14:textId="77777777" w:rsidR="00ED65B1" w:rsidRDefault="00000000">
      <w:pPr>
        <w:ind w:left="-5" w:right="0"/>
      </w:pPr>
      <w:r>
        <w:t xml:space="preserve">The data obtained will be analyzed using SPSS software for basic statistical examinations such as reliability tests and data normality checks. Next, Structural Equation Modeling techniques using PLS-SEM will be implemented to test the causal relationship and validity of the developed model. This process will ensure that the data and accuracy of the model built to produce valid and reliable study results. </w:t>
      </w:r>
    </w:p>
    <w:p w14:paraId="2AF6DE5C" w14:textId="77777777" w:rsidR="00ED65B1" w:rsidRDefault="00000000">
      <w:pPr>
        <w:ind w:left="-5" w:right="0"/>
      </w:pPr>
      <w:r>
        <w:t xml:space="preserve">Emphasis will also be given to the detection of unusual data (outliers) and instrument evaluation as important steps in strengthening data quality. It is hoped that with this systematic method, the study can contribute in-depth and effective knowledge on the role of psychological well-being and self-efficacy in influencing organizational citizenship behavior. </w:t>
      </w:r>
    </w:p>
    <w:p w14:paraId="5BBD297D" w14:textId="77777777" w:rsidR="00ED65B1" w:rsidRDefault="00000000">
      <w:pPr>
        <w:pStyle w:val="Heading1"/>
        <w:numPr>
          <w:ilvl w:val="0"/>
          <w:numId w:val="0"/>
        </w:numPr>
        <w:ind w:left="-5"/>
      </w:pPr>
      <w:r>
        <w:t xml:space="preserve">Conclusion </w:t>
      </w:r>
    </w:p>
    <w:p w14:paraId="02ED97DA" w14:textId="05050FD4" w:rsidR="00ED65B1" w:rsidRDefault="00000000">
      <w:pPr>
        <w:ind w:left="-5" w:right="0"/>
      </w:pPr>
      <w:r>
        <w:t xml:space="preserve">In conclusion, this conceptual framework aims to systematically investigate the relationship between psychological well-being, self-efficacy, and organizational citizenship behavior among </w:t>
      </w:r>
      <w:r w:rsidR="002D16DF">
        <w:t xml:space="preserve">hotel workers </w:t>
      </w:r>
      <w:r>
        <w:t xml:space="preserve">in Malaysia. A deep understanding of the interaction between these variables is very important, especially in the context of a challenging work environment such as hospitals, where high work pressure, emotional burden, and the need to provide high-quality services demand a high level of commitment and dedication from employees. Through this study, it is hoped that the psychological factors that contribute to the increase in organizational citizenship behavior, which plays an important role in strengthening a positive work culture, increasing productivity and improving the operational effectiveness of healthcare organizations. </w:t>
      </w:r>
    </w:p>
    <w:p w14:paraId="6FE727D6" w14:textId="27349F30" w:rsidR="00ED65B1" w:rsidRDefault="00000000">
      <w:pPr>
        <w:ind w:left="-5" w:right="0"/>
      </w:pPr>
      <w:r>
        <w:t xml:space="preserve">Furthermore, this study can serve as a basis for </w:t>
      </w:r>
      <w:r w:rsidR="002D16DF">
        <w:t xml:space="preserve">hotel </w:t>
      </w:r>
      <w:r>
        <w:t xml:space="preserve">management and stakeholders in formulating holistic intervention strategies to foster psychological well-being and enhance </w:t>
      </w:r>
      <w:r>
        <w:lastRenderedPageBreak/>
        <w:t xml:space="preserve">employee self-efficacy. Thus, it is hoped that employees will be more resilient to work stress and be able to demonstrate behaviors that go beyond their formal duties for the good of the </w:t>
      </w:r>
      <w:r w:rsidR="002D16DF">
        <w:t>organization</w:t>
      </w:r>
      <w:r>
        <w:t xml:space="preserve">. Thus, the findings of this study not only have the potential to contribute to the development of theories in the field of human resources and organizational </w:t>
      </w:r>
      <w:r w:rsidR="002D16DF">
        <w:t>psychology but</w:t>
      </w:r>
      <w:r>
        <w:t xml:space="preserve"> also have significant practical implications in improving the quality of h</w:t>
      </w:r>
      <w:r w:rsidR="002D16DF">
        <w:t xml:space="preserve">otel </w:t>
      </w:r>
      <w:r>
        <w:t xml:space="preserve">services in Malaysia. Further research based on this conceptual framework is needed to provide a clearer and more comprehensive picture to help organizations face current challenges and achieve excellence in healthcare service delivery. </w:t>
      </w:r>
    </w:p>
    <w:p w14:paraId="16CA399C" w14:textId="77777777" w:rsidR="002D16DF" w:rsidRDefault="002D16DF">
      <w:pPr>
        <w:ind w:left="-5" w:right="0"/>
      </w:pPr>
    </w:p>
    <w:p w14:paraId="0CB9292F" w14:textId="77777777" w:rsidR="002D16DF" w:rsidRDefault="002D16DF">
      <w:pPr>
        <w:ind w:left="-5" w:right="0"/>
      </w:pPr>
    </w:p>
    <w:p w14:paraId="271CAA6A" w14:textId="77777777" w:rsidR="002D16DF" w:rsidRDefault="002D16DF">
      <w:pPr>
        <w:ind w:left="-5" w:right="0"/>
      </w:pPr>
    </w:p>
    <w:p w14:paraId="6A1D548A" w14:textId="77777777" w:rsidR="002D16DF" w:rsidRDefault="002D16DF">
      <w:pPr>
        <w:ind w:left="-5" w:right="0"/>
      </w:pPr>
    </w:p>
    <w:p w14:paraId="1A34DEEB" w14:textId="77777777" w:rsidR="002D16DF" w:rsidRDefault="002D16DF">
      <w:pPr>
        <w:ind w:left="-5" w:right="0"/>
      </w:pPr>
    </w:p>
    <w:p w14:paraId="55A87E48" w14:textId="77777777" w:rsidR="002D16DF" w:rsidRDefault="002D16DF">
      <w:pPr>
        <w:ind w:left="-5" w:right="0"/>
      </w:pPr>
    </w:p>
    <w:p w14:paraId="1F9692EE" w14:textId="77777777" w:rsidR="002D16DF" w:rsidRDefault="002D16DF">
      <w:pPr>
        <w:ind w:left="-5" w:right="0"/>
      </w:pPr>
    </w:p>
    <w:p w14:paraId="0F006EF3" w14:textId="77777777" w:rsidR="002D16DF" w:rsidRDefault="002D16DF">
      <w:pPr>
        <w:ind w:left="-5" w:right="0"/>
      </w:pPr>
    </w:p>
    <w:p w14:paraId="7051AAFD" w14:textId="77777777" w:rsidR="002D16DF" w:rsidRDefault="002D16DF">
      <w:pPr>
        <w:ind w:left="-5" w:right="0"/>
      </w:pPr>
    </w:p>
    <w:p w14:paraId="5CC15CB6" w14:textId="77777777" w:rsidR="002D16DF" w:rsidRDefault="002D16DF">
      <w:pPr>
        <w:ind w:left="-5" w:right="0"/>
      </w:pPr>
    </w:p>
    <w:p w14:paraId="2760D910" w14:textId="77777777" w:rsidR="002D16DF" w:rsidRDefault="002D16DF">
      <w:pPr>
        <w:ind w:left="-5" w:right="0"/>
      </w:pPr>
    </w:p>
    <w:p w14:paraId="046BD1CE" w14:textId="77777777" w:rsidR="002D16DF" w:rsidRDefault="002D16DF">
      <w:pPr>
        <w:ind w:left="-5" w:right="0"/>
      </w:pPr>
    </w:p>
    <w:p w14:paraId="707EE966" w14:textId="77777777" w:rsidR="002D16DF" w:rsidRDefault="002D16DF">
      <w:pPr>
        <w:ind w:left="-5" w:right="0"/>
      </w:pPr>
    </w:p>
    <w:p w14:paraId="01D4E30F" w14:textId="77777777" w:rsidR="002D16DF" w:rsidRDefault="002D16DF">
      <w:pPr>
        <w:ind w:left="-5" w:right="0"/>
      </w:pPr>
    </w:p>
    <w:p w14:paraId="22C2BE31" w14:textId="77777777" w:rsidR="002D16DF" w:rsidRDefault="002D16DF">
      <w:pPr>
        <w:ind w:left="-5" w:right="0"/>
      </w:pPr>
    </w:p>
    <w:p w14:paraId="430E2A56" w14:textId="77777777" w:rsidR="002D16DF" w:rsidRDefault="002D16DF">
      <w:pPr>
        <w:ind w:left="-5" w:right="0"/>
      </w:pPr>
    </w:p>
    <w:p w14:paraId="38B501FD" w14:textId="77777777" w:rsidR="002D16DF" w:rsidRDefault="002D16DF">
      <w:pPr>
        <w:ind w:left="-5" w:right="0"/>
      </w:pPr>
    </w:p>
    <w:p w14:paraId="6B368521" w14:textId="77777777" w:rsidR="002D16DF" w:rsidRDefault="002D16DF">
      <w:pPr>
        <w:ind w:left="-5" w:right="0"/>
      </w:pPr>
    </w:p>
    <w:p w14:paraId="3FECA9EF" w14:textId="77777777" w:rsidR="002D16DF" w:rsidRDefault="002D16DF">
      <w:pPr>
        <w:ind w:left="-5" w:right="0"/>
      </w:pPr>
    </w:p>
    <w:p w14:paraId="3307FC90" w14:textId="77777777" w:rsidR="002D16DF" w:rsidRDefault="002D16DF">
      <w:pPr>
        <w:ind w:left="-5" w:right="0"/>
      </w:pPr>
    </w:p>
    <w:p w14:paraId="5DE53744" w14:textId="77777777" w:rsidR="00ED65B1" w:rsidRDefault="00000000">
      <w:pPr>
        <w:spacing w:after="0" w:line="259" w:lineRule="auto"/>
        <w:ind w:left="0" w:right="0" w:firstLine="0"/>
        <w:jc w:val="left"/>
      </w:pPr>
      <w:r>
        <w:t xml:space="preserve"> </w:t>
      </w:r>
    </w:p>
    <w:p w14:paraId="63AFD94B" w14:textId="77777777" w:rsidR="00866DA2" w:rsidRDefault="00866DA2">
      <w:pPr>
        <w:spacing w:after="0" w:line="259" w:lineRule="auto"/>
        <w:ind w:left="0" w:right="0" w:firstLine="0"/>
        <w:jc w:val="left"/>
      </w:pPr>
    </w:p>
    <w:p w14:paraId="088EB67E" w14:textId="77777777" w:rsidR="00866DA2" w:rsidRDefault="00866DA2">
      <w:pPr>
        <w:spacing w:after="0" w:line="259" w:lineRule="auto"/>
        <w:ind w:left="0" w:right="0" w:firstLine="0"/>
        <w:jc w:val="left"/>
      </w:pPr>
    </w:p>
    <w:p w14:paraId="02C53F30" w14:textId="77777777" w:rsidR="00866DA2" w:rsidRDefault="00866DA2">
      <w:pPr>
        <w:spacing w:after="0" w:line="259" w:lineRule="auto"/>
        <w:ind w:left="0" w:right="0" w:firstLine="0"/>
        <w:jc w:val="left"/>
      </w:pPr>
    </w:p>
    <w:p w14:paraId="30B4C3ED" w14:textId="77777777" w:rsidR="00866DA2" w:rsidRDefault="00866DA2">
      <w:pPr>
        <w:spacing w:after="0" w:line="259" w:lineRule="auto"/>
        <w:ind w:left="0" w:right="0" w:firstLine="0"/>
        <w:jc w:val="left"/>
      </w:pPr>
    </w:p>
    <w:p w14:paraId="58D38897" w14:textId="77777777" w:rsidR="00866DA2" w:rsidRDefault="00866DA2">
      <w:pPr>
        <w:spacing w:after="0" w:line="259" w:lineRule="auto"/>
        <w:ind w:left="0" w:right="0" w:firstLine="0"/>
        <w:jc w:val="left"/>
      </w:pPr>
    </w:p>
    <w:p w14:paraId="1F311AFB" w14:textId="77777777" w:rsidR="00866DA2" w:rsidRDefault="00866DA2">
      <w:pPr>
        <w:spacing w:after="0" w:line="259" w:lineRule="auto"/>
        <w:ind w:left="0" w:right="0" w:firstLine="0"/>
        <w:jc w:val="left"/>
      </w:pPr>
    </w:p>
    <w:p w14:paraId="1B84D71B" w14:textId="77777777" w:rsidR="00866DA2" w:rsidRDefault="00866DA2">
      <w:pPr>
        <w:spacing w:after="0" w:line="259" w:lineRule="auto"/>
        <w:ind w:left="0" w:right="0" w:firstLine="0"/>
        <w:jc w:val="left"/>
      </w:pPr>
    </w:p>
    <w:p w14:paraId="13E7F8E2" w14:textId="77777777" w:rsidR="00866DA2" w:rsidRPr="002D16DF" w:rsidRDefault="00866DA2" w:rsidP="00866DA2">
      <w:pPr>
        <w:ind w:left="-5" w:right="0"/>
        <w:rPr>
          <w:b/>
          <w:bCs/>
        </w:rPr>
      </w:pPr>
      <w:r w:rsidRPr="002D16DF">
        <w:rPr>
          <w:b/>
          <w:bCs/>
        </w:rPr>
        <w:lastRenderedPageBreak/>
        <w:t xml:space="preserve">References </w:t>
      </w:r>
    </w:p>
    <w:p w14:paraId="4543C261" w14:textId="77777777" w:rsidR="00866DA2" w:rsidRDefault="00866DA2" w:rsidP="00866DA2">
      <w:pPr>
        <w:spacing w:after="0" w:line="395" w:lineRule="auto"/>
        <w:ind w:left="-5" w:right="92"/>
        <w:jc w:val="left"/>
      </w:pPr>
      <w:r>
        <w:t xml:space="preserve">Abbasi, A., &amp; Wan Ismail, W. K. (2023). Linking organizational citizenship behaviour and  organizational trust towards reducing workplace deviance behaviour in higher education.  Cogent Social Sciences, 9(1). https://doi.org/10.1080/23311886.2022.2157538. </w:t>
      </w:r>
    </w:p>
    <w:p w14:paraId="5384D9A1" w14:textId="77777777" w:rsidR="00866DA2" w:rsidRDefault="00866DA2" w:rsidP="00866DA2">
      <w:pPr>
        <w:spacing w:after="1" w:line="395" w:lineRule="auto"/>
        <w:ind w:left="-5" w:right="0"/>
      </w:pPr>
      <w:r>
        <w:t xml:space="preserve">Afram, J., Manresa, A., &amp; Mas-Machuca, M. (2022). The impact of employee empowerment  on organisational performance: The mediating role of employee engagement and  organisational citizenship behaviour. Intangible Capital, 18(1). https://doi.org/10.3926/ic.1781.  Ali, H., Sastrodiharjo, I., Saputra, F., Besar, G., Ekonomi, F., Bisnis, D., Bhayangkara, U., &amp;  </w:t>
      </w:r>
    </w:p>
    <w:p w14:paraId="2A9DDFE3" w14:textId="77777777" w:rsidR="00866DA2" w:rsidRDefault="00866DA2" w:rsidP="00866DA2">
      <w:pPr>
        <w:spacing w:after="0" w:line="396" w:lineRule="auto"/>
        <w:ind w:left="-5" w:right="0"/>
      </w:pPr>
      <w:r>
        <w:t xml:space="preserve">Raya, J. (2022). Pengukuran Organizational Citizenship Behaviour: Beban Kerja, Budaya  Kerja dan Motivasi (Studi Literature Review). Jurnal Ilmu Multidisplin, 1(1). </w:t>
      </w:r>
    </w:p>
    <w:p w14:paraId="05A2DE9C" w14:textId="77777777" w:rsidR="00866DA2" w:rsidRDefault="00866DA2" w:rsidP="00866DA2">
      <w:pPr>
        <w:spacing w:after="2" w:line="394" w:lineRule="auto"/>
        <w:ind w:left="-5" w:right="0"/>
      </w:pPr>
      <w:r>
        <w:t xml:space="preserve">Anfajaya, M., &amp; Rahayu, A. (2019). The Role of Self-Efficacy in Organizational Citizenship  Behaviour. Advances in Social Science, Education and Humanities Research, 395.  </w:t>
      </w:r>
    </w:p>
    <w:p w14:paraId="5442C3AA" w14:textId="77777777" w:rsidR="00866DA2" w:rsidRDefault="00866DA2" w:rsidP="00866DA2">
      <w:pPr>
        <w:ind w:left="-5" w:right="0"/>
      </w:pPr>
      <w:r>
        <w:t xml:space="preserve">Arifin, N., Fu’ad, E. N., &amp; Argadea, E. I. (2022). Antecedents of Organizational Citizenship  </w:t>
      </w:r>
    </w:p>
    <w:p w14:paraId="2059250E" w14:textId="77777777" w:rsidR="00866DA2" w:rsidRDefault="00866DA2" w:rsidP="00866DA2">
      <w:pPr>
        <w:spacing w:after="1" w:line="395" w:lineRule="auto"/>
        <w:ind w:left="-5" w:right="430"/>
      </w:pPr>
      <w:r>
        <w:t xml:space="preserve">Behaviour.  Journal  of  Management </w:t>
      </w:r>
      <w:hyperlink r:id="rId6">
        <w:r>
          <w:t xml:space="preserve"> </w:t>
        </w:r>
      </w:hyperlink>
      <w:hyperlink r:id="rId7">
        <w:r>
          <w:rPr>
            <w:color w:val="0563C1"/>
            <w:u w:val="single" w:color="0563C1"/>
          </w:rPr>
          <w:t>https://doi.org/10.34001/jmer.2021.12.02.2</w:t>
        </w:r>
      </w:hyperlink>
      <w:hyperlink r:id="rId8">
        <w:r>
          <w:rPr>
            <w:color w:val="0563C1"/>
            <w:u w:val="single" w:color="0563C1"/>
          </w:rPr>
          <w:t>-</w:t>
        </w:r>
      </w:hyperlink>
      <w:hyperlink r:id="rId9">
        <w:r>
          <w:rPr>
            <w:color w:val="0563C1"/>
            <w:u w:val="single" w:color="0563C1"/>
          </w:rPr>
          <w:t>20</w:t>
        </w:r>
      </w:hyperlink>
      <w:hyperlink r:id="rId10">
        <w:r>
          <w:t xml:space="preserve"> </w:t>
        </w:r>
      </w:hyperlink>
      <w:r>
        <w:t xml:space="preserve">Ayman Falak Medina. (2020). Malaysia’s Healthcare Sector: A Rising Giant in ASEAN.  https://www.aseanbriefing.com/news/malaysias-healthcare-sector-a-rising-giant-in-asean/  </w:t>
      </w:r>
    </w:p>
    <w:p w14:paraId="16EF4AD4" w14:textId="77777777" w:rsidR="00866DA2" w:rsidRDefault="00866DA2" w:rsidP="00866DA2">
      <w:pPr>
        <w:ind w:left="-5" w:right="0"/>
      </w:pPr>
      <w:r>
        <w:t xml:space="preserve">Bandura, A. (1997). Self-Efficacy the Exercise of Control. W.H.Freeman Company.  </w:t>
      </w:r>
    </w:p>
    <w:p w14:paraId="75165817" w14:textId="77777777" w:rsidR="00866DA2" w:rsidRDefault="00866DA2" w:rsidP="00866DA2">
      <w:pPr>
        <w:ind w:left="-5" w:right="0"/>
      </w:pPr>
      <w:r>
        <w:t xml:space="preserve">Bandura, A. (2016). Self-Efficacy In V. S. Ramachaudran. </w:t>
      </w:r>
    </w:p>
    <w:p w14:paraId="753E6995" w14:textId="77777777" w:rsidR="00866DA2" w:rsidRDefault="00866DA2" w:rsidP="00866DA2">
      <w:pPr>
        <w:spacing w:after="30" w:line="395" w:lineRule="auto"/>
        <w:ind w:left="-5" w:right="92"/>
        <w:jc w:val="left"/>
      </w:pPr>
      <w:r>
        <w:t xml:space="preserve">Brant, K. K., &amp; Castro, S. (2019). You can’t ignore millennials: Needed changes and a new  way forward in entitlement research. Human Resource Management Journal, 527–538.  Buil, I., Martincz, E., &amp; Mature, J. (2019). Transformational leadership and employee  performance: The role of identification, engagement and proactive personality. International  </w:t>
      </w:r>
    </w:p>
    <w:p w14:paraId="7665634D" w14:textId="77777777" w:rsidR="00866DA2" w:rsidRDefault="00866DA2" w:rsidP="00866DA2">
      <w:pPr>
        <w:tabs>
          <w:tab w:val="center" w:pos="2719"/>
          <w:tab w:val="center" w:pos="5267"/>
          <w:tab w:val="right" w:pos="9033"/>
        </w:tabs>
        <w:spacing w:after="14"/>
        <w:ind w:left="-15" w:right="0" w:firstLine="0"/>
        <w:jc w:val="left"/>
      </w:pPr>
      <w:r>
        <w:t xml:space="preserve">Journal of Hospitality </w:t>
      </w:r>
      <w:r>
        <w:tab/>
        <w:t xml:space="preserve">Management, </w:t>
      </w:r>
    </w:p>
    <w:p w14:paraId="2A9F69A6" w14:textId="77777777" w:rsidR="00866DA2" w:rsidRDefault="00866DA2" w:rsidP="00866DA2">
      <w:pPr>
        <w:ind w:left="-5" w:right="0"/>
        <w:jc w:val="left"/>
      </w:pPr>
      <w:r>
        <w:t xml:space="preserve">https://doi.org/https://doi.org/https:/doi.org/10.1016/j.ijhm.2018.06.014  64–75.  </w:t>
      </w:r>
    </w:p>
    <w:p w14:paraId="40A4D5B4" w14:textId="77777777" w:rsidR="00866DA2" w:rsidRDefault="00866DA2" w:rsidP="00866DA2">
      <w:pPr>
        <w:spacing w:after="3" w:line="394" w:lineRule="auto"/>
        <w:ind w:left="0" w:right="0" w:firstLine="0"/>
      </w:pPr>
    </w:p>
    <w:p w14:paraId="0EA73069" w14:textId="77777777" w:rsidR="00866DA2" w:rsidRDefault="00866DA2" w:rsidP="00866DA2">
      <w:pPr>
        <w:spacing w:after="3" w:line="394" w:lineRule="auto"/>
        <w:ind w:left="-5" w:right="0"/>
      </w:pPr>
      <w:r>
        <w:t xml:space="preserve">Campbell, S. M., Campbell, W. K., &amp; Twenge, J. M. (2017). Fuzzy but useful constructs:  Making sense of the differences between generations. Work. Aging Retire. Work. Aging  </w:t>
      </w:r>
    </w:p>
    <w:p w14:paraId="3EF8F3B4" w14:textId="77777777" w:rsidR="00866DA2" w:rsidRDefault="00866DA2" w:rsidP="00866DA2">
      <w:pPr>
        <w:ind w:left="-5" w:right="0"/>
      </w:pPr>
      <w:r>
        <w:t xml:space="preserve">Retire. </w:t>
      </w:r>
    </w:p>
    <w:p w14:paraId="6FAA05C6" w14:textId="77777777" w:rsidR="00866DA2" w:rsidRDefault="00866DA2" w:rsidP="00866DA2">
      <w:pPr>
        <w:spacing w:after="160" w:line="258" w:lineRule="auto"/>
        <w:ind w:left="-5" w:right="0"/>
      </w:pPr>
      <w:r>
        <w:rPr>
          <w:rFonts w:ascii="Calibri" w:eastAsia="Calibri" w:hAnsi="Calibri" w:cs="Calibri"/>
          <w:sz w:val="22"/>
        </w:rPr>
        <w:t xml:space="preserve">Caroll, D. . (1989). Happiness is everything, or is it? Explorations on the meaning of psychological wellbeing. Journal of Personality and Social Psychology, 57, 1069–1081. </w:t>
      </w:r>
      <w:hyperlink r:id="rId11">
        <w:r>
          <w:rPr>
            <w:rFonts w:ascii="Calibri" w:eastAsia="Calibri" w:hAnsi="Calibri" w:cs="Calibri"/>
            <w:color w:val="0563C1"/>
            <w:sz w:val="22"/>
            <w:u w:val="single" w:color="0563C1"/>
          </w:rPr>
          <w:t>https://doi.org/10.1037/0022</w:t>
        </w:r>
      </w:hyperlink>
      <w:hyperlink r:id="rId12"/>
      <w:hyperlink r:id="rId13">
        <w:r>
          <w:rPr>
            <w:rFonts w:ascii="Calibri" w:eastAsia="Calibri" w:hAnsi="Calibri" w:cs="Calibri"/>
            <w:color w:val="0563C1"/>
            <w:sz w:val="22"/>
            <w:u w:val="single" w:color="0563C1"/>
          </w:rPr>
          <w:t>3514.57.6.1069</w:t>
        </w:r>
      </w:hyperlink>
      <w:hyperlink r:id="rId14">
        <w:r>
          <w:rPr>
            <w:rFonts w:ascii="Calibri" w:eastAsia="Calibri" w:hAnsi="Calibri" w:cs="Calibri"/>
            <w:sz w:val="22"/>
          </w:rPr>
          <w:t xml:space="preserve"> </w:t>
        </w:r>
      </w:hyperlink>
    </w:p>
    <w:p w14:paraId="68AC5E69" w14:textId="77777777" w:rsidR="00866DA2" w:rsidRDefault="00866DA2" w:rsidP="00866DA2">
      <w:pPr>
        <w:spacing w:after="160" w:line="258" w:lineRule="auto"/>
        <w:ind w:left="-5" w:right="0"/>
      </w:pPr>
      <w:r>
        <w:rPr>
          <w:rFonts w:ascii="Calibri" w:eastAsia="Calibri" w:hAnsi="Calibri" w:cs="Calibri"/>
          <w:sz w:val="22"/>
        </w:rPr>
        <w:lastRenderedPageBreak/>
        <w:t xml:space="preserve">Dani Saadi, S. (2021). Pengaruh self efficacy terhadap work performance dan organizational citizenship behaviour melalui job crafting. FORUM EKONOMI, 23(2).  </w:t>
      </w:r>
    </w:p>
    <w:p w14:paraId="37AEC81F" w14:textId="77777777" w:rsidR="00866DA2" w:rsidRDefault="00866DA2" w:rsidP="00866DA2">
      <w:pPr>
        <w:spacing w:after="1" w:line="258" w:lineRule="auto"/>
        <w:ind w:left="-5" w:right="0"/>
      </w:pPr>
      <w:r>
        <w:rPr>
          <w:rFonts w:ascii="Calibri" w:eastAsia="Calibri" w:hAnsi="Calibri" w:cs="Calibri"/>
          <w:sz w:val="22"/>
        </w:rPr>
        <w:t xml:space="preserve">Eisenberger, R., Cummings, J., Armeli, S., &amp; Lynch, P. (1997). Perceived organizational support, discretionary treatment, and job satisfaction. Journal of Applied Psychology, 82(5), 812–820. </w:t>
      </w:r>
    </w:p>
    <w:p w14:paraId="47402F45" w14:textId="77777777" w:rsidR="00866DA2" w:rsidRDefault="00866DA2" w:rsidP="00866DA2">
      <w:pPr>
        <w:spacing w:after="158" w:line="259" w:lineRule="auto"/>
        <w:ind w:left="-5" w:right="0"/>
        <w:jc w:val="left"/>
      </w:pPr>
      <w:hyperlink r:id="rId15">
        <w:r>
          <w:rPr>
            <w:rFonts w:ascii="Calibri" w:eastAsia="Calibri" w:hAnsi="Calibri" w:cs="Calibri"/>
            <w:color w:val="0563C1"/>
            <w:sz w:val="22"/>
            <w:u w:val="single" w:color="0563C1"/>
          </w:rPr>
          <w:t>https://doi.org/10.1037/0021</w:t>
        </w:r>
      </w:hyperlink>
      <w:hyperlink r:id="rId16">
        <w:r>
          <w:rPr>
            <w:rFonts w:ascii="Calibri" w:eastAsia="Calibri" w:hAnsi="Calibri" w:cs="Calibri"/>
            <w:color w:val="0563C1"/>
            <w:sz w:val="22"/>
            <w:u w:val="single" w:color="0563C1"/>
          </w:rPr>
          <w:t>-</w:t>
        </w:r>
      </w:hyperlink>
      <w:hyperlink r:id="rId17">
        <w:r>
          <w:rPr>
            <w:rFonts w:ascii="Calibri" w:eastAsia="Calibri" w:hAnsi="Calibri" w:cs="Calibri"/>
            <w:color w:val="0563C1"/>
            <w:sz w:val="22"/>
            <w:u w:val="single" w:color="0563C1"/>
          </w:rPr>
          <w:t>9010.82.5.812</w:t>
        </w:r>
      </w:hyperlink>
      <w:hyperlink r:id="rId18">
        <w:r>
          <w:rPr>
            <w:rFonts w:ascii="Calibri" w:eastAsia="Calibri" w:hAnsi="Calibri" w:cs="Calibri"/>
            <w:sz w:val="22"/>
          </w:rPr>
          <w:t xml:space="preserve"> </w:t>
        </w:r>
      </w:hyperlink>
      <w:r>
        <w:rPr>
          <w:rFonts w:ascii="Calibri" w:eastAsia="Calibri" w:hAnsi="Calibri" w:cs="Calibri"/>
          <w:sz w:val="22"/>
        </w:rPr>
        <w:t xml:space="preserve"> </w:t>
      </w:r>
    </w:p>
    <w:p w14:paraId="04623406" w14:textId="77777777" w:rsidR="00866DA2" w:rsidRDefault="00866DA2" w:rsidP="00866DA2">
      <w:pPr>
        <w:spacing w:after="160" w:line="258" w:lineRule="auto"/>
        <w:ind w:left="-5" w:right="0"/>
        <w:rPr>
          <w:rFonts w:ascii="Calibri" w:eastAsia="Calibri" w:hAnsi="Calibri" w:cs="Calibri"/>
          <w:sz w:val="22"/>
        </w:rPr>
      </w:pPr>
      <w:r>
        <w:rPr>
          <w:rFonts w:ascii="Calibri" w:eastAsia="Calibri" w:hAnsi="Calibri" w:cs="Calibri"/>
          <w:sz w:val="22"/>
        </w:rPr>
        <w:t xml:space="preserve">Firdayanti, T. (2022). The influence of personality factors on organizational citizenship behaviour. Journal of Economy, Acounting and Management Science, 3(2). </w:t>
      </w:r>
    </w:p>
    <w:p w14:paraId="4672885F" w14:textId="77777777" w:rsidR="00866DA2" w:rsidRPr="00A90446" w:rsidRDefault="00866DA2" w:rsidP="00866DA2">
      <w:pPr>
        <w:autoSpaceDE w:val="0"/>
        <w:autoSpaceDN w:val="0"/>
        <w:ind w:hanging="25"/>
        <w:rPr>
          <w:sz w:val="22"/>
          <w:szCs w:val="22"/>
        </w:rPr>
      </w:pPr>
      <w:r w:rsidRPr="00A90446">
        <w:rPr>
          <w:sz w:val="22"/>
          <w:szCs w:val="22"/>
        </w:rPr>
        <w:t xml:space="preserve">Ghazali, H., &amp; Ishak, M. (2021). Managers View on Impact of Covid-19 Pandemic: Evidence from Hotel Industry in Malaysia. </w:t>
      </w:r>
      <w:r w:rsidRPr="00A90446">
        <w:rPr>
          <w:i/>
          <w:iCs/>
          <w:sz w:val="22"/>
          <w:szCs w:val="22"/>
        </w:rPr>
        <w:t>International Journal of Human Resource Studies</w:t>
      </w:r>
      <w:r w:rsidRPr="00A90446">
        <w:rPr>
          <w:sz w:val="22"/>
          <w:szCs w:val="22"/>
        </w:rPr>
        <w:t xml:space="preserve">, </w:t>
      </w:r>
      <w:r w:rsidRPr="00A90446">
        <w:rPr>
          <w:i/>
          <w:iCs/>
          <w:sz w:val="22"/>
          <w:szCs w:val="22"/>
        </w:rPr>
        <w:t>11</w:t>
      </w:r>
      <w:r w:rsidRPr="00A90446">
        <w:rPr>
          <w:sz w:val="22"/>
          <w:szCs w:val="22"/>
        </w:rPr>
        <w:t>(1). https://doi.org/10.5296/ijhrs.v11i1.17927</w:t>
      </w:r>
    </w:p>
    <w:p w14:paraId="32E67536" w14:textId="77777777" w:rsidR="00866DA2" w:rsidRDefault="00866DA2" w:rsidP="00866DA2">
      <w:pPr>
        <w:spacing w:after="160" w:line="258" w:lineRule="auto"/>
        <w:ind w:left="-5" w:right="0"/>
      </w:pPr>
    </w:p>
    <w:p w14:paraId="4E2B6425" w14:textId="77777777" w:rsidR="00866DA2" w:rsidRDefault="00866DA2" w:rsidP="00866DA2">
      <w:pPr>
        <w:spacing w:after="1" w:line="258" w:lineRule="auto"/>
        <w:ind w:left="-5" w:right="0"/>
      </w:pPr>
      <w:r>
        <w:rPr>
          <w:rFonts w:ascii="Calibri" w:eastAsia="Calibri" w:hAnsi="Calibri" w:cs="Calibri"/>
          <w:sz w:val="22"/>
        </w:rPr>
        <w:t xml:space="preserve">Jnaneswar, K., &amp; Ranjit, G. (2022). Organizational justice and organizational citizenship behaviour: the mediating role of psychological ownership. Journal of Organizational Effectiveness, 9(1). </w:t>
      </w:r>
    </w:p>
    <w:p w14:paraId="71ADBCE0" w14:textId="77777777" w:rsidR="00866DA2" w:rsidRDefault="00866DA2" w:rsidP="00866DA2">
      <w:pPr>
        <w:spacing w:after="160" w:line="258" w:lineRule="auto"/>
        <w:ind w:left="-5" w:right="0"/>
      </w:pPr>
      <w:r>
        <w:rPr>
          <w:rFonts w:ascii="Calibri" w:eastAsia="Calibri" w:hAnsi="Calibri" w:cs="Calibri"/>
          <w:sz w:val="22"/>
        </w:rPr>
        <w:t xml:space="preserve">https://doi.org/10.1108/JOEPP-01-2021-0012  </w:t>
      </w:r>
    </w:p>
    <w:p w14:paraId="3133CA9F" w14:textId="77777777" w:rsidR="00866DA2" w:rsidRDefault="00866DA2" w:rsidP="00866DA2">
      <w:pPr>
        <w:spacing w:after="160" w:line="258" w:lineRule="auto"/>
        <w:ind w:left="-5" w:right="0"/>
      </w:pPr>
      <w:r>
        <w:rPr>
          <w:rFonts w:ascii="Calibri" w:eastAsia="Calibri" w:hAnsi="Calibri" w:cs="Calibri"/>
          <w:sz w:val="22"/>
        </w:rPr>
        <w:t xml:space="preserve">JUANI MUNIR, A. B. (2023, April 27). 19,664 petugas kesihatan berhenti. UTUSAN MALAYSIA. </w:t>
      </w:r>
      <w:hyperlink r:id="rId19">
        <w:r>
          <w:rPr>
            <w:rFonts w:ascii="Calibri" w:eastAsia="Calibri" w:hAnsi="Calibri" w:cs="Calibri"/>
            <w:color w:val="0563C1"/>
            <w:sz w:val="22"/>
            <w:u w:val="single" w:color="0563C1"/>
          </w:rPr>
          <w:t>https://www.utusan.com.my/berita/2023/04/196664</w:t>
        </w:r>
      </w:hyperlink>
      <w:hyperlink r:id="rId20">
        <w:r>
          <w:rPr>
            <w:rFonts w:ascii="Calibri" w:eastAsia="Calibri" w:hAnsi="Calibri" w:cs="Calibri"/>
            <w:color w:val="0563C1"/>
            <w:sz w:val="22"/>
            <w:u w:val="single" w:color="0563C1"/>
          </w:rPr>
          <w:t>-</w:t>
        </w:r>
      </w:hyperlink>
      <w:hyperlink r:id="rId21">
        <w:r>
          <w:rPr>
            <w:rFonts w:ascii="Calibri" w:eastAsia="Calibri" w:hAnsi="Calibri" w:cs="Calibri"/>
            <w:color w:val="0563C1"/>
            <w:sz w:val="22"/>
            <w:u w:val="single" w:color="0563C1"/>
          </w:rPr>
          <w:t>petugas</w:t>
        </w:r>
      </w:hyperlink>
      <w:hyperlink r:id="rId22">
        <w:r>
          <w:rPr>
            <w:rFonts w:ascii="Calibri" w:eastAsia="Calibri" w:hAnsi="Calibri" w:cs="Calibri"/>
            <w:color w:val="0563C1"/>
            <w:sz w:val="22"/>
            <w:u w:val="single" w:color="0563C1"/>
          </w:rPr>
          <w:t>-</w:t>
        </w:r>
      </w:hyperlink>
      <w:hyperlink r:id="rId23">
        <w:r>
          <w:rPr>
            <w:rFonts w:ascii="Calibri" w:eastAsia="Calibri" w:hAnsi="Calibri" w:cs="Calibri"/>
            <w:color w:val="0563C1"/>
            <w:sz w:val="22"/>
            <w:u w:val="single" w:color="0563C1"/>
          </w:rPr>
          <w:t>kesihatan berhenti/</w:t>
        </w:r>
      </w:hyperlink>
      <w:hyperlink r:id="rId24">
        <w:r>
          <w:rPr>
            <w:rFonts w:ascii="Calibri" w:eastAsia="Calibri" w:hAnsi="Calibri" w:cs="Calibri"/>
            <w:sz w:val="22"/>
          </w:rPr>
          <w:t xml:space="preserve"> </w:t>
        </w:r>
      </w:hyperlink>
    </w:p>
    <w:p w14:paraId="2AF10929" w14:textId="77777777" w:rsidR="00866DA2" w:rsidRDefault="00866DA2" w:rsidP="00866DA2">
      <w:pPr>
        <w:spacing w:after="160" w:line="258" w:lineRule="auto"/>
        <w:ind w:left="-5" w:right="0"/>
      </w:pPr>
      <w:r>
        <w:rPr>
          <w:rFonts w:ascii="Calibri" w:eastAsia="Calibri" w:hAnsi="Calibri" w:cs="Calibri"/>
          <w:sz w:val="22"/>
        </w:rPr>
        <w:t xml:space="preserve">Kinowska, H., &amp; Sienkiewicz, Ł. J. (2023). Influence of algorithmic management practices on workplace well-being – evidence from European organisations. Information Technology &amp; People, 36(8), 21–42. </w:t>
      </w:r>
      <w:hyperlink r:id="rId25">
        <w:r>
          <w:rPr>
            <w:rFonts w:ascii="Calibri" w:eastAsia="Calibri" w:hAnsi="Calibri" w:cs="Calibri"/>
            <w:color w:val="0563C1"/>
            <w:sz w:val="22"/>
            <w:u w:val="single" w:color="0563C1"/>
          </w:rPr>
          <w:t>https://doi.org/10.1108/ITP</w:t>
        </w:r>
      </w:hyperlink>
      <w:hyperlink r:id="rId26">
        <w:r>
          <w:rPr>
            <w:rFonts w:ascii="Calibri" w:eastAsia="Calibri" w:hAnsi="Calibri" w:cs="Calibri"/>
            <w:color w:val="0563C1"/>
            <w:sz w:val="22"/>
            <w:u w:val="single" w:color="0563C1"/>
          </w:rPr>
          <w:t>-</w:t>
        </w:r>
      </w:hyperlink>
      <w:hyperlink r:id="rId27">
        <w:r>
          <w:rPr>
            <w:rFonts w:ascii="Calibri" w:eastAsia="Calibri" w:hAnsi="Calibri" w:cs="Calibri"/>
            <w:color w:val="0563C1"/>
            <w:sz w:val="22"/>
            <w:u w:val="single" w:color="0563C1"/>
          </w:rPr>
          <w:t>02</w:t>
        </w:r>
      </w:hyperlink>
      <w:hyperlink r:id="rId28">
        <w:r>
          <w:rPr>
            <w:rFonts w:ascii="Calibri" w:eastAsia="Calibri" w:hAnsi="Calibri" w:cs="Calibri"/>
            <w:color w:val="0563C1"/>
            <w:sz w:val="22"/>
            <w:u w:val="single" w:color="0563C1"/>
          </w:rPr>
          <w:t>-</w:t>
        </w:r>
      </w:hyperlink>
      <w:hyperlink r:id="rId29">
        <w:r>
          <w:rPr>
            <w:rFonts w:ascii="Calibri" w:eastAsia="Calibri" w:hAnsi="Calibri" w:cs="Calibri"/>
            <w:color w:val="0563C1"/>
            <w:sz w:val="22"/>
            <w:u w:val="single" w:color="0563C1"/>
          </w:rPr>
          <w:t>2022</w:t>
        </w:r>
      </w:hyperlink>
      <w:hyperlink r:id="rId30">
        <w:r>
          <w:rPr>
            <w:rFonts w:ascii="Calibri" w:eastAsia="Calibri" w:hAnsi="Calibri" w:cs="Calibri"/>
            <w:color w:val="0563C1"/>
            <w:sz w:val="22"/>
            <w:u w:val="single" w:color="0563C1"/>
          </w:rPr>
          <w:t>-</w:t>
        </w:r>
      </w:hyperlink>
      <w:hyperlink r:id="rId31">
        <w:r>
          <w:rPr>
            <w:rFonts w:ascii="Calibri" w:eastAsia="Calibri" w:hAnsi="Calibri" w:cs="Calibri"/>
            <w:color w:val="0563C1"/>
            <w:sz w:val="22"/>
            <w:u w:val="single" w:color="0563C1"/>
          </w:rPr>
          <w:t>0079</w:t>
        </w:r>
      </w:hyperlink>
      <w:hyperlink r:id="rId32">
        <w:r>
          <w:rPr>
            <w:rFonts w:ascii="Calibri" w:eastAsia="Calibri" w:hAnsi="Calibri" w:cs="Calibri"/>
            <w:sz w:val="22"/>
          </w:rPr>
          <w:t xml:space="preserve"> </w:t>
        </w:r>
      </w:hyperlink>
    </w:p>
    <w:p w14:paraId="7BF923BC" w14:textId="77777777" w:rsidR="00866DA2" w:rsidRDefault="00866DA2" w:rsidP="00866DA2">
      <w:pPr>
        <w:spacing w:after="160" w:line="258" w:lineRule="auto"/>
        <w:ind w:left="-5" w:right="0"/>
      </w:pPr>
      <w:r>
        <w:rPr>
          <w:rFonts w:ascii="Calibri" w:eastAsia="Calibri" w:hAnsi="Calibri" w:cs="Calibri"/>
          <w:sz w:val="22"/>
        </w:rPr>
        <w:t xml:space="preserve">Latip, M. S. A., Noh, I., Tamrin, M., &amp; Latip, S. N. N. A. (2020). Students ’ acceptance for e learning and the effects of self-efficacy in Malaysia. International Journal of Academic Research In Business &amp; Social Sciences, 10(May), 658–674. </w:t>
      </w:r>
    </w:p>
    <w:p w14:paraId="1FDCEC31" w14:textId="77777777" w:rsidR="00866DA2" w:rsidRDefault="00866DA2" w:rsidP="00866DA2">
      <w:pPr>
        <w:spacing w:after="160" w:line="258" w:lineRule="auto"/>
        <w:ind w:left="-5" w:right="0"/>
      </w:pPr>
      <w:r>
        <w:rPr>
          <w:rFonts w:ascii="Calibri" w:eastAsia="Calibri" w:hAnsi="Calibri" w:cs="Calibri"/>
          <w:sz w:val="22"/>
        </w:rPr>
        <w:t xml:space="preserve">Latip, S. N. N. A., Latip, M. S. A., Tamrin, M., &amp; Nawi, M. Z. M. (2022). The Perspective of Work Ergonomics on Employee Task Performance in Hotel and Tourism Industry, Malaysia. </w:t>
      </w:r>
      <w:hyperlink r:id="rId33">
        <w:r>
          <w:rPr>
            <w:rFonts w:ascii="Calibri" w:eastAsia="Calibri" w:hAnsi="Calibri" w:cs="Calibri"/>
            <w:color w:val="0563C1"/>
            <w:sz w:val="22"/>
            <w:u w:val="single" w:color="0563C1"/>
          </w:rPr>
          <w:t>https://doi.org/10.3390/proceedings2022082007</w:t>
        </w:r>
      </w:hyperlink>
      <w:hyperlink r:id="rId34">
        <w:r>
          <w:rPr>
            <w:rFonts w:ascii="Calibri" w:eastAsia="Calibri" w:hAnsi="Calibri" w:cs="Calibri"/>
            <w:sz w:val="22"/>
          </w:rPr>
          <w:t>.</w:t>
        </w:r>
      </w:hyperlink>
      <w:r>
        <w:rPr>
          <w:rFonts w:ascii="Calibri" w:eastAsia="Calibri" w:hAnsi="Calibri" w:cs="Calibri"/>
          <w:sz w:val="22"/>
        </w:rPr>
        <w:t xml:space="preserve"> </w:t>
      </w:r>
    </w:p>
    <w:p w14:paraId="795DE83E" w14:textId="77777777" w:rsidR="00866DA2" w:rsidRDefault="00866DA2" w:rsidP="00866DA2">
      <w:pPr>
        <w:spacing w:after="158" w:line="259" w:lineRule="auto"/>
        <w:ind w:left="-5" w:right="0"/>
        <w:jc w:val="left"/>
      </w:pPr>
      <w:r>
        <w:rPr>
          <w:rFonts w:ascii="Calibri" w:eastAsia="Calibri" w:hAnsi="Calibri" w:cs="Calibri"/>
          <w:sz w:val="22"/>
        </w:rPr>
        <w:t>Lindquist, M. (2023). The Real Costs of Healthcare Staff Turnover</w:t>
      </w:r>
      <w:hyperlink r:id="rId35">
        <w:r>
          <w:rPr>
            <w:rFonts w:ascii="Calibri" w:eastAsia="Calibri" w:hAnsi="Calibri" w:cs="Calibri"/>
            <w:sz w:val="22"/>
          </w:rPr>
          <w:t xml:space="preserve">. </w:t>
        </w:r>
      </w:hyperlink>
      <w:hyperlink r:id="rId36">
        <w:r>
          <w:rPr>
            <w:rFonts w:ascii="Calibri" w:eastAsia="Calibri" w:hAnsi="Calibri" w:cs="Calibri"/>
            <w:color w:val="0563C1"/>
            <w:sz w:val="22"/>
            <w:u w:val="single" w:color="0563C1"/>
          </w:rPr>
          <w:t>https://www.oracle.com/my/human</w:t>
        </w:r>
      </w:hyperlink>
      <w:hyperlink r:id="rId37"/>
      <w:hyperlink r:id="rId38">
        <w:r>
          <w:rPr>
            <w:rFonts w:ascii="Calibri" w:eastAsia="Calibri" w:hAnsi="Calibri" w:cs="Calibri"/>
            <w:color w:val="0563C1"/>
            <w:sz w:val="22"/>
            <w:u w:val="single" w:color="0563C1"/>
          </w:rPr>
          <w:t>capital</w:t>
        </w:r>
      </w:hyperlink>
      <w:hyperlink r:id="rId39">
        <w:r>
          <w:rPr>
            <w:rFonts w:ascii="Calibri" w:eastAsia="Calibri" w:hAnsi="Calibri" w:cs="Calibri"/>
            <w:color w:val="0563C1"/>
            <w:sz w:val="22"/>
            <w:u w:val="single" w:color="0563C1"/>
          </w:rPr>
          <w:t>-</w:t>
        </w:r>
      </w:hyperlink>
      <w:hyperlink r:id="rId40">
        <w:r>
          <w:rPr>
            <w:rFonts w:ascii="Calibri" w:eastAsia="Calibri" w:hAnsi="Calibri" w:cs="Calibri"/>
            <w:color w:val="0563C1"/>
            <w:sz w:val="22"/>
            <w:u w:val="single" w:color="0563C1"/>
          </w:rPr>
          <w:t>management/cost</w:t>
        </w:r>
      </w:hyperlink>
      <w:hyperlink r:id="rId41">
        <w:r>
          <w:rPr>
            <w:rFonts w:ascii="Calibri" w:eastAsia="Calibri" w:hAnsi="Calibri" w:cs="Calibri"/>
            <w:color w:val="0563C1"/>
            <w:sz w:val="22"/>
            <w:u w:val="single" w:color="0563C1"/>
          </w:rPr>
          <w:t>-</w:t>
        </w:r>
      </w:hyperlink>
      <w:hyperlink r:id="rId42">
        <w:r>
          <w:rPr>
            <w:rFonts w:ascii="Calibri" w:eastAsia="Calibri" w:hAnsi="Calibri" w:cs="Calibri"/>
            <w:color w:val="0563C1"/>
            <w:sz w:val="22"/>
            <w:u w:val="single" w:color="0563C1"/>
          </w:rPr>
          <w:t>employee</w:t>
        </w:r>
      </w:hyperlink>
      <w:hyperlink r:id="rId43">
        <w:r>
          <w:rPr>
            <w:rFonts w:ascii="Calibri" w:eastAsia="Calibri" w:hAnsi="Calibri" w:cs="Calibri"/>
            <w:color w:val="0563C1"/>
            <w:sz w:val="22"/>
            <w:u w:val="single" w:color="0563C1"/>
          </w:rPr>
          <w:t>-</w:t>
        </w:r>
      </w:hyperlink>
      <w:hyperlink r:id="rId44">
        <w:r>
          <w:rPr>
            <w:rFonts w:ascii="Calibri" w:eastAsia="Calibri" w:hAnsi="Calibri" w:cs="Calibri"/>
            <w:color w:val="0563C1"/>
            <w:sz w:val="22"/>
            <w:u w:val="single" w:color="0563C1"/>
          </w:rPr>
          <w:t>turnover</w:t>
        </w:r>
      </w:hyperlink>
      <w:hyperlink r:id="rId45">
        <w:r>
          <w:rPr>
            <w:rFonts w:ascii="Calibri" w:eastAsia="Calibri" w:hAnsi="Calibri" w:cs="Calibri"/>
            <w:color w:val="0563C1"/>
            <w:sz w:val="22"/>
            <w:u w:val="single" w:color="0563C1"/>
          </w:rPr>
          <w:t>-</w:t>
        </w:r>
      </w:hyperlink>
      <w:hyperlink r:id="rId46">
        <w:r>
          <w:rPr>
            <w:rFonts w:ascii="Calibri" w:eastAsia="Calibri" w:hAnsi="Calibri" w:cs="Calibri"/>
            <w:color w:val="0563C1"/>
            <w:sz w:val="22"/>
            <w:u w:val="single" w:color="0563C1"/>
          </w:rPr>
          <w:t>healthcare/</w:t>
        </w:r>
      </w:hyperlink>
      <w:hyperlink r:id="rId47">
        <w:r>
          <w:rPr>
            <w:rFonts w:ascii="Calibri" w:eastAsia="Calibri" w:hAnsi="Calibri" w:cs="Calibri"/>
            <w:sz w:val="22"/>
          </w:rPr>
          <w:t xml:space="preserve"> </w:t>
        </w:r>
      </w:hyperlink>
      <w:r>
        <w:rPr>
          <w:rFonts w:ascii="Calibri" w:eastAsia="Calibri" w:hAnsi="Calibri" w:cs="Calibri"/>
          <w:sz w:val="22"/>
        </w:rPr>
        <w:t xml:space="preserve"> </w:t>
      </w:r>
    </w:p>
    <w:p w14:paraId="22A38790" w14:textId="77777777" w:rsidR="00866DA2" w:rsidRDefault="00866DA2" w:rsidP="00866DA2">
      <w:pPr>
        <w:spacing w:after="158" w:line="259" w:lineRule="auto"/>
        <w:ind w:left="-5" w:right="0"/>
        <w:jc w:val="left"/>
      </w:pPr>
      <w:r>
        <w:rPr>
          <w:rFonts w:ascii="Calibri" w:eastAsia="Calibri" w:hAnsi="Calibri" w:cs="Calibri"/>
          <w:sz w:val="22"/>
        </w:rPr>
        <w:t xml:space="preserve">Lopez, G. (2020). Self-Efficacy Theory. </w:t>
      </w:r>
      <w:hyperlink r:id="rId48">
        <w:r>
          <w:rPr>
            <w:rFonts w:ascii="Calibri" w:eastAsia="Calibri" w:hAnsi="Calibri" w:cs="Calibri"/>
            <w:color w:val="0563C1"/>
            <w:sz w:val="22"/>
            <w:u w:val="single" w:color="0563C1"/>
          </w:rPr>
          <w:t>https://www.simplypsychology.org/self</w:t>
        </w:r>
      </w:hyperlink>
      <w:hyperlink r:id="rId49">
        <w:r>
          <w:rPr>
            <w:rFonts w:ascii="Calibri" w:eastAsia="Calibri" w:hAnsi="Calibri" w:cs="Calibri"/>
            <w:color w:val="0563C1"/>
            <w:sz w:val="22"/>
            <w:u w:val="single" w:color="0563C1"/>
          </w:rPr>
          <w:t>-</w:t>
        </w:r>
      </w:hyperlink>
      <w:hyperlink r:id="rId50">
        <w:r>
          <w:rPr>
            <w:rFonts w:ascii="Calibri" w:eastAsia="Calibri" w:hAnsi="Calibri" w:cs="Calibri"/>
            <w:color w:val="0563C1"/>
            <w:sz w:val="22"/>
            <w:u w:val="single" w:color="0563C1"/>
          </w:rPr>
          <w:t>efficacy.html</w:t>
        </w:r>
      </w:hyperlink>
      <w:hyperlink r:id="rId51">
        <w:r>
          <w:rPr>
            <w:rFonts w:ascii="Calibri" w:eastAsia="Calibri" w:hAnsi="Calibri" w:cs="Calibri"/>
            <w:sz w:val="22"/>
          </w:rPr>
          <w:t>.</w:t>
        </w:r>
      </w:hyperlink>
      <w:r>
        <w:rPr>
          <w:rFonts w:ascii="Calibri" w:eastAsia="Calibri" w:hAnsi="Calibri" w:cs="Calibri"/>
          <w:sz w:val="22"/>
        </w:rPr>
        <w:t xml:space="preserve"> </w:t>
      </w:r>
    </w:p>
    <w:p w14:paraId="76946E82" w14:textId="77777777" w:rsidR="00866DA2" w:rsidRDefault="00866DA2" w:rsidP="00866DA2">
      <w:pPr>
        <w:spacing w:after="160" w:line="258" w:lineRule="auto"/>
        <w:ind w:left="-5" w:right="0"/>
        <w:rPr>
          <w:rFonts w:ascii="Calibri" w:eastAsia="Calibri" w:hAnsi="Calibri" w:cs="Calibri"/>
          <w:sz w:val="22"/>
        </w:rPr>
      </w:pPr>
      <w:r>
        <w:rPr>
          <w:rFonts w:ascii="Calibri" w:eastAsia="Calibri" w:hAnsi="Calibri" w:cs="Calibri"/>
          <w:sz w:val="22"/>
        </w:rPr>
        <w:t xml:space="preserve"> Maan, A. T., Abid, G., Butt, T. H., Fouzia, A., &amp; Sairah, A. (2020). Perceived organizational support and job satisfaction: a moderated mediation model of proactive personality and psychological empowerment. Futur Bus J. </w:t>
      </w:r>
      <w:hyperlink r:id="rId52">
        <w:r>
          <w:rPr>
            <w:rFonts w:ascii="Calibri" w:eastAsia="Calibri" w:hAnsi="Calibri" w:cs="Calibri"/>
            <w:color w:val="0563C1"/>
            <w:sz w:val="22"/>
            <w:u w:val="single" w:color="0563C1"/>
          </w:rPr>
          <w:t>https://doi.org/10.1186/s43093</w:t>
        </w:r>
      </w:hyperlink>
      <w:hyperlink r:id="rId53">
        <w:r>
          <w:rPr>
            <w:rFonts w:ascii="Calibri" w:eastAsia="Calibri" w:hAnsi="Calibri" w:cs="Calibri"/>
            <w:color w:val="0563C1"/>
            <w:sz w:val="22"/>
            <w:u w:val="single" w:color="0563C1"/>
          </w:rPr>
          <w:t>-</w:t>
        </w:r>
      </w:hyperlink>
      <w:hyperlink r:id="rId54">
        <w:r>
          <w:rPr>
            <w:rFonts w:ascii="Calibri" w:eastAsia="Calibri" w:hAnsi="Calibri" w:cs="Calibri"/>
            <w:color w:val="0563C1"/>
            <w:sz w:val="22"/>
            <w:u w:val="single" w:color="0563C1"/>
          </w:rPr>
          <w:t>020</w:t>
        </w:r>
      </w:hyperlink>
      <w:hyperlink r:id="rId55">
        <w:r>
          <w:rPr>
            <w:rFonts w:ascii="Calibri" w:eastAsia="Calibri" w:hAnsi="Calibri" w:cs="Calibri"/>
            <w:color w:val="0563C1"/>
            <w:sz w:val="22"/>
            <w:u w:val="single" w:color="0563C1"/>
          </w:rPr>
          <w:t>-</w:t>
        </w:r>
      </w:hyperlink>
      <w:hyperlink r:id="rId56">
        <w:r>
          <w:rPr>
            <w:rFonts w:ascii="Calibri" w:eastAsia="Calibri" w:hAnsi="Calibri" w:cs="Calibri"/>
            <w:color w:val="0563C1"/>
            <w:sz w:val="22"/>
            <w:u w:val="single" w:color="0563C1"/>
          </w:rPr>
          <w:t>00027</w:t>
        </w:r>
      </w:hyperlink>
      <w:hyperlink r:id="rId57">
        <w:r>
          <w:rPr>
            <w:rFonts w:ascii="Calibri" w:eastAsia="Calibri" w:hAnsi="Calibri" w:cs="Calibri"/>
            <w:color w:val="0563C1"/>
            <w:sz w:val="22"/>
            <w:u w:val="single" w:color="0563C1"/>
          </w:rPr>
          <w:t>-</w:t>
        </w:r>
      </w:hyperlink>
      <w:hyperlink r:id="rId58">
        <w:r>
          <w:rPr>
            <w:rFonts w:ascii="Calibri" w:eastAsia="Calibri" w:hAnsi="Calibri" w:cs="Calibri"/>
            <w:color w:val="0563C1"/>
            <w:sz w:val="22"/>
            <w:u w:val="single" w:color="0563C1"/>
          </w:rPr>
          <w:t>8</w:t>
        </w:r>
      </w:hyperlink>
      <w:hyperlink r:id="rId59">
        <w:r>
          <w:rPr>
            <w:rFonts w:ascii="Calibri" w:eastAsia="Calibri" w:hAnsi="Calibri" w:cs="Calibri"/>
            <w:sz w:val="22"/>
          </w:rPr>
          <w:t>.</w:t>
        </w:r>
      </w:hyperlink>
      <w:r>
        <w:rPr>
          <w:rFonts w:ascii="Calibri" w:eastAsia="Calibri" w:hAnsi="Calibri" w:cs="Calibri"/>
          <w:sz w:val="22"/>
        </w:rPr>
        <w:t xml:space="preserve"> </w:t>
      </w:r>
    </w:p>
    <w:p w14:paraId="37607134" w14:textId="77777777" w:rsidR="00866DA2" w:rsidRPr="00A90446" w:rsidRDefault="00866DA2" w:rsidP="00866DA2">
      <w:pPr>
        <w:autoSpaceDE w:val="0"/>
        <w:autoSpaceDN w:val="0"/>
        <w:ind w:hanging="25"/>
        <w:rPr>
          <w:sz w:val="22"/>
          <w:szCs w:val="22"/>
        </w:rPr>
      </w:pPr>
      <w:r w:rsidRPr="00A90446">
        <w:rPr>
          <w:sz w:val="22"/>
          <w:szCs w:val="22"/>
        </w:rPr>
        <w:t xml:space="preserve">Ma, E., Wang, D., Wang, L., &amp; Liu, A. (2023). Industry as Contexts or Theory? A Systematic and Meta-Analysis of Status and Directions of Organizational Citizenship Behaviors in Hospitality. </w:t>
      </w:r>
      <w:r w:rsidRPr="00A90446">
        <w:rPr>
          <w:i/>
          <w:iCs/>
          <w:sz w:val="22"/>
          <w:szCs w:val="22"/>
        </w:rPr>
        <w:t>Journal of Hospitality &amp; Tourism Research</w:t>
      </w:r>
      <w:r w:rsidRPr="00A90446">
        <w:rPr>
          <w:sz w:val="22"/>
          <w:szCs w:val="22"/>
        </w:rPr>
        <w:t xml:space="preserve">, </w:t>
      </w:r>
      <w:r w:rsidRPr="00A90446">
        <w:rPr>
          <w:i/>
          <w:iCs/>
          <w:sz w:val="22"/>
          <w:szCs w:val="22"/>
        </w:rPr>
        <w:t>47</w:t>
      </w:r>
      <w:r w:rsidRPr="00A90446">
        <w:rPr>
          <w:sz w:val="22"/>
          <w:szCs w:val="22"/>
        </w:rPr>
        <w:t>(5), 877–907. https://doi.org/10.1177/10963480211019104</w:t>
      </w:r>
    </w:p>
    <w:p w14:paraId="09E3BB06" w14:textId="77777777" w:rsidR="00866DA2" w:rsidRDefault="00866DA2" w:rsidP="00866DA2">
      <w:pPr>
        <w:spacing w:after="160" w:line="258" w:lineRule="auto"/>
        <w:ind w:left="-5" w:right="0"/>
      </w:pPr>
    </w:p>
    <w:p w14:paraId="008A9493" w14:textId="77777777" w:rsidR="00866DA2" w:rsidRDefault="00866DA2" w:rsidP="00866DA2">
      <w:pPr>
        <w:spacing w:after="160" w:line="258" w:lineRule="auto"/>
        <w:ind w:left="-5" w:right="0"/>
      </w:pPr>
      <w:r>
        <w:rPr>
          <w:rFonts w:ascii="Calibri" w:eastAsia="Calibri" w:hAnsi="Calibri" w:cs="Calibri"/>
          <w:sz w:val="22"/>
        </w:rPr>
        <w:t xml:space="preserve">Mahipalan, M., Sheena, &amp; Muhammed, S. (2019). Examining the Role of Workplace Spirituality and Teacher Self-efficacy on Organizational Citizenship Behaviour of Secondary School Teachers: An Indian https://doi.org/10.1177/0972262918821241 Scenario. Vision, 23(1). </w:t>
      </w:r>
    </w:p>
    <w:p w14:paraId="5F727224" w14:textId="77777777" w:rsidR="00866DA2" w:rsidRDefault="00866DA2" w:rsidP="00866DA2">
      <w:pPr>
        <w:spacing w:after="160" w:line="258" w:lineRule="auto"/>
        <w:ind w:left="-5" w:right="0"/>
      </w:pPr>
      <w:r>
        <w:rPr>
          <w:rFonts w:ascii="Calibri" w:eastAsia="Calibri" w:hAnsi="Calibri" w:cs="Calibri"/>
          <w:sz w:val="22"/>
        </w:rPr>
        <w:lastRenderedPageBreak/>
        <w:t xml:space="preserve"> Mangindaan, B., &amp; Tewal, B. (2020). Pengaruh Budaya Organisasi, Komitmen Organisasi, dan Kompetensi terhadap Organizational Citizenship Behaviour pada Hotel Sutan Raja Amurang. Dotulong 85 Jurnal EMBA, 8(1). </w:t>
      </w:r>
    </w:p>
    <w:p w14:paraId="4491A566" w14:textId="77777777" w:rsidR="00866DA2" w:rsidRDefault="00866DA2" w:rsidP="00866DA2">
      <w:pPr>
        <w:spacing w:after="160" w:line="258" w:lineRule="auto"/>
        <w:ind w:left="-5" w:right="0"/>
      </w:pPr>
      <w:r>
        <w:rPr>
          <w:rFonts w:ascii="Calibri" w:eastAsia="Calibri" w:hAnsi="Calibri" w:cs="Calibri"/>
          <w:sz w:val="22"/>
        </w:rPr>
        <w:t xml:space="preserve">Organ, D. (1998). Organizational citizenship behaviour : the good soldier syndrome. Lexington Books, Lexington, Mass. </w:t>
      </w:r>
    </w:p>
    <w:p w14:paraId="22830296" w14:textId="77777777" w:rsidR="00866DA2" w:rsidRDefault="00866DA2" w:rsidP="00866DA2">
      <w:pPr>
        <w:spacing w:after="160" w:line="258" w:lineRule="auto"/>
        <w:ind w:left="-5" w:right="0"/>
      </w:pPr>
      <w:r>
        <w:rPr>
          <w:rFonts w:ascii="Calibri" w:eastAsia="Calibri" w:hAnsi="Calibri" w:cs="Calibri"/>
          <w:sz w:val="22"/>
        </w:rPr>
        <w:t xml:space="preserve">Organ, D. W., Podsakoff, P. M., &amp; MacKenzie, S. B. (2006). Organizational Citizenship Behaviour: Its Nature, Antecedents, and Consequences. SAGE Publications.  </w:t>
      </w:r>
    </w:p>
    <w:p w14:paraId="170707BE" w14:textId="77777777" w:rsidR="00866DA2" w:rsidRDefault="00866DA2" w:rsidP="00866DA2">
      <w:pPr>
        <w:spacing w:after="1" w:line="258" w:lineRule="auto"/>
        <w:ind w:left="-5" w:right="0"/>
      </w:pPr>
      <w:r>
        <w:rPr>
          <w:rFonts w:ascii="Calibri" w:eastAsia="Calibri" w:hAnsi="Calibri" w:cs="Calibri"/>
          <w:sz w:val="22"/>
        </w:rPr>
        <w:t xml:space="preserve">Prasetyo, Y., Sofiah, D., &amp; Farhanindya, H. (2022). Selfefficacy dan organizational citizenship behaviour. Ournal of Psychological Research, 2(1). Prasetyo, Y., Sofiah, D., Farhanindya, H. H., &amp; Psikologi, F. (2022). </w:t>
      </w:r>
    </w:p>
    <w:p w14:paraId="03C0AFEF" w14:textId="77777777" w:rsidR="00866DA2" w:rsidRDefault="00866DA2" w:rsidP="00866DA2">
      <w:pPr>
        <w:spacing w:after="0" w:line="400" w:lineRule="auto"/>
        <w:ind w:left="-5" w:right="0"/>
      </w:pPr>
      <w:r>
        <w:rPr>
          <w:rFonts w:ascii="Calibri" w:eastAsia="Calibri" w:hAnsi="Calibri" w:cs="Calibri"/>
          <w:sz w:val="22"/>
        </w:rPr>
        <w:t xml:space="preserve">Self efficacy dan organizational citizenship behaviour. INNER: Journal of Psychological Research, 2(1). </w:t>
      </w:r>
      <w:r>
        <w:t xml:space="preserve">Rahman, M. H. A., &amp; Karim, D. N. (2022). Organizational justice and organizational  </w:t>
      </w:r>
    </w:p>
    <w:p w14:paraId="122A283D" w14:textId="77777777" w:rsidR="00866DA2" w:rsidRDefault="00866DA2" w:rsidP="00866DA2">
      <w:pPr>
        <w:ind w:left="-5" w:right="0"/>
      </w:pPr>
      <w:r>
        <w:t xml:space="preserve">citizenship behaviour: the mediating role of work engagement. Heliyon, 8(5). </w:t>
      </w:r>
      <w:hyperlink r:id="rId60">
        <w:r>
          <w:rPr>
            <w:color w:val="0563C1"/>
            <w:u w:val="single" w:color="0563C1"/>
          </w:rPr>
          <w:t>https://doi.org/10.1016/j.heliyon.2022.e09450</w:t>
        </w:r>
      </w:hyperlink>
      <w:hyperlink r:id="rId61">
        <w:r>
          <w:t xml:space="preserve"> </w:t>
        </w:r>
      </w:hyperlink>
    </w:p>
    <w:p w14:paraId="7656596A" w14:textId="77777777" w:rsidR="00866DA2" w:rsidRDefault="00866DA2" w:rsidP="00866DA2">
      <w:pPr>
        <w:spacing w:after="160" w:line="258" w:lineRule="auto"/>
        <w:ind w:left="-5" w:right="0"/>
      </w:pPr>
      <w:r>
        <w:rPr>
          <w:rFonts w:ascii="Calibri" w:eastAsia="Calibri" w:hAnsi="Calibri" w:cs="Calibri"/>
          <w:sz w:val="22"/>
        </w:rPr>
        <w:t xml:space="preserve">Sangaran, G., &amp; Selvanayagam, G. (2021). A review of the current hotel industry situation in Malaysia. Journal of Tourism, Hospitality &amp; Culinary Arts (JTHCA) 2021, 13(2). </w:t>
      </w:r>
    </w:p>
    <w:p w14:paraId="69B12C9E" w14:textId="77777777" w:rsidR="00866DA2" w:rsidRDefault="00866DA2" w:rsidP="00866DA2">
      <w:pPr>
        <w:tabs>
          <w:tab w:val="center" w:pos="1583"/>
          <w:tab w:val="center" w:pos="3228"/>
          <w:tab w:val="center" w:pos="5037"/>
          <w:tab w:val="center" w:pos="6673"/>
          <w:tab w:val="right" w:pos="9033"/>
        </w:tabs>
        <w:spacing w:after="1" w:line="258" w:lineRule="auto"/>
        <w:ind w:left="-15" w:right="0" w:firstLine="0"/>
        <w:jc w:val="left"/>
      </w:pPr>
      <w:r>
        <w:rPr>
          <w:rFonts w:ascii="Calibri" w:eastAsia="Calibri" w:hAnsi="Calibri" w:cs="Calibri"/>
          <w:sz w:val="22"/>
        </w:rPr>
        <w:t xml:space="preserve">Smirti. </w:t>
      </w:r>
      <w:r>
        <w:rPr>
          <w:rFonts w:ascii="Calibri" w:eastAsia="Calibri" w:hAnsi="Calibri" w:cs="Calibri"/>
          <w:sz w:val="22"/>
        </w:rPr>
        <w:tab/>
        <w:t xml:space="preserve">(2021). </w:t>
      </w:r>
      <w:r>
        <w:rPr>
          <w:rFonts w:ascii="Calibri" w:eastAsia="Calibri" w:hAnsi="Calibri" w:cs="Calibri"/>
          <w:sz w:val="22"/>
        </w:rPr>
        <w:tab/>
        <w:t xml:space="preserve">Organizational </w:t>
      </w:r>
      <w:r>
        <w:rPr>
          <w:rFonts w:ascii="Calibri" w:eastAsia="Calibri" w:hAnsi="Calibri" w:cs="Calibri"/>
          <w:sz w:val="22"/>
        </w:rPr>
        <w:tab/>
        <w:t xml:space="preserve">Citizenship </w:t>
      </w:r>
      <w:r>
        <w:rPr>
          <w:rFonts w:ascii="Calibri" w:eastAsia="Calibri" w:hAnsi="Calibri" w:cs="Calibri"/>
          <w:sz w:val="22"/>
        </w:rPr>
        <w:tab/>
        <w:t xml:space="preserve">Behaviour. </w:t>
      </w:r>
      <w:r>
        <w:rPr>
          <w:rFonts w:ascii="Calibri" w:eastAsia="Calibri" w:hAnsi="Calibri" w:cs="Calibri"/>
          <w:sz w:val="22"/>
        </w:rPr>
        <w:tab/>
        <w:t xml:space="preserve">Management </w:t>
      </w:r>
    </w:p>
    <w:p w14:paraId="4D09A601" w14:textId="77777777" w:rsidR="00866DA2" w:rsidRDefault="00866DA2" w:rsidP="00866DA2">
      <w:pPr>
        <w:spacing w:after="158" w:line="259" w:lineRule="auto"/>
        <w:ind w:left="-5" w:right="0"/>
        <w:jc w:val="left"/>
      </w:pPr>
      <w:hyperlink r:id="rId62">
        <w:r>
          <w:rPr>
            <w:rFonts w:ascii="Calibri" w:eastAsia="Calibri" w:hAnsi="Calibri" w:cs="Calibri"/>
            <w:color w:val="0563C1"/>
            <w:sz w:val="22"/>
            <w:u w:val="single" w:color="0563C1"/>
          </w:rPr>
          <w:t>https://www.managementnote.com/organizational</w:t>
        </w:r>
      </w:hyperlink>
      <w:hyperlink r:id="rId63">
        <w:r>
          <w:rPr>
            <w:rFonts w:ascii="Calibri" w:eastAsia="Calibri" w:hAnsi="Calibri" w:cs="Calibri"/>
            <w:color w:val="0563C1"/>
            <w:sz w:val="22"/>
            <w:u w:val="single" w:color="0563C1"/>
          </w:rPr>
          <w:t>-</w:t>
        </w:r>
      </w:hyperlink>
      <w:hyperlink r:id="rId64">
        <w:r>
          <w:rPr>
            <w:rFonts w:ascii="Calibri" w:eastAsia="Calibri" w:hAnsi="Calibri" w:cs="Calibri"/>
            <w:color w:val="0563C1"/>
            <w:sz w:val="22"/>
            <w:u w:val="single" w:color="0563C1"/>
          </w:rPr>
          <w:t>citizenship</w:t>
        </w:r>
      </w:hyperlink>
      <w:hyperlink r:id="rId65">
        <w:r>
          <w:rPr>
            <w:rFonts w:ascii="Calibri" w:eastAsia="Calibri" w:hAnsi="Calibri" w:cs="Calibri"/>
            <w:color w:val="0563C1"/>
            <w:sz w:val="22"/>
            <w:u w:val="single" w:color="0563C1"/>
          </w:rPr>
          <w:t>-</w:t>
        </w:r>
      </w:hyperlink>
      <w:hyperlink r:id="rId66">
        <w:r>
          <w:rPr>
            <w:rFonts w:ascii="Calibri" w:eastAsia="Calibri" w:hAnsi="Calibri" w:cs="Calibri"/>
            <w:color w:val="0563C1"/>
            <w:sz w:val="22"/>
            <w:u w:val="single" w:color="0563C1"/>
          </w:rPr>
          <w:t>behaviour</w:t>
        </w:r>
      </w:hyperlink>
      <w:hyperlink r:id="rId67">
        <w:r>
          <w:rPr>
            <w:rFonts w:ascii="Calibri" w:eastAsia="Calibri" w:hAnsi="Calibri" w:cs="Calibri"/>
            <w:color w:val="0563C1"/>
            <w:sz w:val="22"/>
            <w:u w:val="single" w:color="0563C1"/>
          </w:rPr>
          <w:t>-</w:t>
        </w:r>
      </w:hyperlink>
      <w:hyperlink r:id="rId68">
        <w:r>
          <w:rPr>
            <w:rFonts w:ascii="Calibri" w:eastAsia="Calibri" w:hAnsi="Calibri" w:cs="Calibri"/>
            <w:color w:val="0563C1"/>
            <w:sz w:val="22"/>
            <w:u w:val="single" w:color="0563C1"/>
          </w:rPr>
          <w:t>2/</w:t>
        </w:r>
      </w:hyperlink>
      <w:hyperlink r:id="rId69">
        <w:r>
          <w:rPr>
            <w:rFonts w:ascii="Calibri" w:eastAsia="Calibri" w:hAnsi="Calibri" w:cs="Calibri"/>
            <w:sz w:val="22"/>
          </w:rPr>
          <w:t xml:space="preserve"> </w:t>
        </w:r>
      </w:hyperlink>
    </w:p>
    <w:p w14:paraId="063250D4" w14:textId="77777777" w:rsidR="00866DA2" w:rsidRDefault="00866DA2" w:rsidP="00866DA2">
      <w:pPr>
        <w:ind w:left="-5" w:right="0"/>
      </w:pPr>
      <w:r>
        <w:t xml:space="preserve">Sumardjo, M., &amp; Supriadi, Y. N. (2023). Perceived Organizational Commitment Mediates the  </w:t>
      </w:r>
    </w:p>
    <w:p w14:paraId="53538E09" w14:textId="77777777" w:rsidR="00866DA2" w:rsidRDefault="00866DA2" w:rsidP="00866DA2">
      <w:pPr>
        <w:spacing w:after="198"/>
        <w:ind w:left="-5" w:right="0"/>
      </w:pPr>
      <w:r>
        <w:t xml:space="preserve">Effect of Perceived Organizational Support and Organizational Culture on Organizational  </w:t>
      </w:r>
    </w:p>
    <w:p w14:paraId="477CD1E0" w14:textId="77777777" w:rsidR="00866DA2" w:rsidRDefault="00866DA2" w:rsidP="00866DA2">
      <w:pPr>
        <w:ind w:left="-5" w:right="0"/>
      </w:pPr>
      <w:r>
        <w:t xml:space="preserve">Citizenship </w:t>
      </w:r>
      <w:r>
        <w:tab/>
        <w:t xml:space="preserve"> </w:t>
      </w:r>
      <w:r>
        <w:tab/>
        <w:t xml:space="preserve">Behaviour. </w:t>
      </w:r>
      <w:r>
        <w:tab/>
        <w:t xml:space="preserve"> </w:t>
      </w:r>
      <w:r>
        <w:tab/>
        <w:t xml:space="preserve">Quality </w:t>
      </w:r>
      <w:r>
        <w:tab/>
        <w:t>-</w:t>
      </w:r>
      <w:r>
        <w:rPr>
          <w:rFonts w:ascii="Calibri" w:eastAsia="Calibri" w:hAnsi="Calibri" w:cs="Calibri"/>
          <w:sz w:val="22"/>
        </w:rPr>
        <w:t xml:space="preserve"> </w:t>
      </w:r>
      <w:r>
        <w:rPr>
          <w:rFonts w:ascii="Calibri" w:eastAsia="Calibri" w:hAnsi="Calibri" w:cs="Calibri"/>
          <w:sz w:val="22"/>
        </w:rPr>
        <w:tab/>
      </w:r>
      <w:r>
        <w:t xml:space="preserve">Access </w:t>
      </w:r>
      <w:r>
        <w:tab/>
        <w:t xml:space="preserve"> </w:t>
      </w:r>
      <w:r>
        <w:tab/>
        <w:t xml:space="preserve">to </w:t>
      </w:r>
      <w:r>
        <w:tab/>
        <w:t xml:space="preserve">Success, </w:t>
      </w:r>
      <w:r>
        <w:tab/>
        <w:t>24(192).</w:t>
      </w:r>
      <w:r>
        <w:rPr>
          <w:rFonts w:ascii="Calibri" w:eastAsia="Calibri" w:hAnsi="Calibri" w:cs="Calibri"/>
          <w:sz w:val="22"/>
        </w:rPr>
        <w:t xml:space="preserve"> </w:t>
      </w:r>
      <w:hyperlink r:id="rId70">
        <w:r>
          <w:rPr>
            <w:rFonts w:ascii="Calibri" w:eastAsia="Calibri" w:hAnsi="Calibri" w:cs="Calibri"/>
            <w:color w:val="0563C1"/>
            <w:sz w:val="22"/>
            <w:u w:val="single" w:color="0563C1"/>
          </w:rPr>
          <w:t>h</w:t>
        </w:r>
      </w:hyperlink>
      <w:hyperlink r:id="rId71">
        <w:r>
          <w:rPr>
            <w:color w:val="0563C1"/>
            <w:u w:val="single" w:color="0563C1"/>
          </w:rPr>
          <w:t>ttps://doi.org/10.47750/QAS/24.192.45</w:t>
        </w:r>
      </w:hyperlink>
      <w:hyperlink r:id="rId72">
        <w:r>
          <w:t xml:space="preserve"> </w:t>
        </w:r>
      </w:hyperlink>
    </w:p>
    <w:p w14:paraId="1A8C59B7" w14:textId="77777777" w:rsidR="00866DA2" w:rsidRDefault="00866DA2" w:rsidP="00866DA2">
      <w:pPr>
        <w:spacing w:after="29" w:line="396" w:lineRule="auto"/>
        <w:ind w:left="-5" w:right="0"/>
      </w:pPr>
      <w:r>
        <w:t xml:space="preserve">Sun, H. J., &amp; Yoon, H. H. (2022). Linking Organizational Virtuousness, Engagement, and  Organizational Citizenship Behaviour: The Moderating Role of Individual and Organizational  </w:t>
      </w:r>
    </w:p>
    <w:p w14:paraId="155A8512" w14:textId="77777777" w:rsidR="00866DA2" w:rsidRDefault="00866DA2" w:rsidP="00866DA2">
      <w:pPr>
        <w:spacing w:after="155" w:line="262" w:lineRule="auto"/>
        <w:ind w:left="0" w:right="0" w:firstLine="0"/>
        <w:jc w:val="left"/>
      </w:pPr>
      <w:r>
        <w:t xml:space="preserve">Factors. </w:t>
      </w:r>
      <w:r>
        <w:tab/>
        <w:t xml:space="preserve">Journal </w:t>
      </w:r>
      <w:r>
        <w:tab/>
        <w:t xml:space="preserve">of </w:t>
      </w:r>
      <w:r>
        <w:tab/>
        <w:t xml:space="preserve">Hospitality </w:t>
      </w:r>
      <w:r>
        <w:tab/>
        <w:t xml:space="preserve">and </w:t>
      </w:r>
      <w:r>
        <w:tab/>
        <w:t xml:space="preserve">Tourism </w:t>
      </w:r>
      <w:r>
        <w:tab/>
        <w:t xml:space="preserve">Research. </w:t>
      </w:r>
      <w:hyperlink r:id="rId73">
        <w:r>
          <w:rPr>
            <w:color w:val="0563C1"/>
            <w:u w:val="single" w:color="0563C1"/>
          </w:rPr>
          <w:t>https://doi.org/https://doi.org/10.1177/1096348020963701</w:t>
        </w:r>
      </w:hyperlink>
      <w:hyperlink r:id="rId74">
        <w:r>
          <w:t xml:space="preserve"> </w:t>
        </w:r>
      </w:hyperlink>
      <w:r>
        <w:t xml:space="preserve"> </w:t>
      </w:r>
    </w:p>
    <w:p w14:paraId="4CAFB0DF" w14:textId="77777777" w:rsidR="00866DA2" w:rsidRDefault="00866DA2" w:rsidP="00866DA2">
      <w:pPr>
        <w:ind w:left="-5" w:right="0"/>
      </w:pPr>
      <w:r>
        <w:t xml:space="preserve">Twenge, J. M., Campbell, S. M., Hoffman, B. J., &amp; ALance, C. E. (2010). Generational differences in work values: Leisure and extrinsic values increasing, social and intrinsic values decreasing. Journal Management, https://doi.org/10.1177/0149206309352246 Asian 36, 1117– 11142 </w:t>
      </w:r>
    </w:p>
    <w:p w14:paraId="0B2130BC" w14:textId="77777777" w:rsidR="00866DA2" w:rsidRDefault="00866DA2" w:rsidP="00866DA2">
      <w:pPr>
        <w:ind w:left="-5" w:right="0"/>
      </w:pPr>
      <w:r>
        <w:t xml:space="preserve">Udin, U., &amp; Yuniawan, A. (2020). sychological capital, personality traits of big-five, organizational citizenship behaviour, and task performance: Testing their relationships. Journal of </w:t>
      </w:r>
      <w:r>
        <w:tab/>
        <w:t xml:space="preserve">Finance, </w:t>
      </w:r>
      <w:r>
        <w:tab/>
        <w:t xml:space="preserve">Economics </w:t>
      </w:r>
      <w:r>
        <w:tab/>
        <w:t xml:space="preserve">and </w:t>
      </w:r>
      <w:r>
        <w:tab/>
        <w:t xml:space="preserve">Business. </w:t>
      </w:r>
      <w:r>
        <w:tab/>
        <w:t>7(9),781-790.</w:t>
      </w:r>
      <w:r>
        <w:rPr>
          <w:rFonts w:ascii="Calibri" w:eastAsia="Calibri" w:hAnsi="Calibri" w:cs="Calibri"/>
          <w:sz w:val="22"/>
        </w:rPr>
        <w:t xml:space="preserve"> </w:t>
      </w:r>
      <w:hyperlink r:id="rId75">
        <w:r>
          <w:rPr>
            <w:color w:val="0563C1"/>
            <w:u w:val="single" w:color="0563C1"/>
          </w:rPr>
          <w:t>https://doi.org/10.13106/JAFEB.2020.VOL7.NO9.781</w:t>
        </w:r>
      </w:hyperlink>
      <w:hyperlink r:id="rId76">
        <w:r>
          <w:t xml:space="preserve"> </w:t>
        </w:r>
      </w:hyperlink>
    </w:p>
    <w:p w14:paraId="135747FC" w14:textId="77777777" w:rsidR="00866DA2" w:rsidRDefault="00866DA2" w:rsidP="00866DA2">
      <w:pPr>
        <w:ind w:left="-5" w:right="0"/>
      </w:pPr>
      <w:r>
        <w:t xml:space="preserve">Yang, J., Kim, Y., &amp; Kim, P. B. (2021). ushing forward high-performance work systems in the hotel industry: A procedural-justice climate to promote higher unit-level outcomes. Tourism Management, 87. </w:t>
      </w:r>
      <w:hyperlink r:id="rId77">
        <w:r>
          <w:rPr>
            <w:color w:val="0563C1"/>
            <w:u w:val="single" w:color="0563C1"/>
          </w:rPr>
          <w:t>https://doi.org/https://doi.org/https:/doi.org/10.1016/j.tourman.2021.104385</w:t>
        </w:r>
      </w:hyperlink>
      <w:hyperlink r:id="rId78">
        <w:r>
          <w:t xml:space="preserve"> </w:t>
        </w:r>
      </w:hyperlink>
    </w:p>
    <w:p w14:paraId="16713E0E" w14:textId="77777777" w:rsidR="00866DA2" w:rsidRDefault="00866DA2" w:rsidP="00866DA2">
      <w:pPr>
        <w:spacing w:after="27" w:line="396" w:lineRule="auto"/>
        <w:ind w:left="-5" w:right="0"/>
      </w:pPr>
      <w:r>
        <w:lastRenderedPageBreak/>
        <w:t xml:space="preserve">Yuan, S., Poon., R., Yongxing Patrick, L., Griffiths, P., Yong, K., &amp; Liaw, B. S. &amp; S. Y. (2022).  A global overview of healthcare workers’ turnover intention amid COVID-19 pandemic: a  </w:t>
      </w:r>
    </w:p>
    <w:p w14:paraId="116658B5" w14:textId="77777777" w:rsidR="00866DA2" w:rsidRDefault="00866DA2" w:rsidP="00866DA2">
      <w:pPr>
        <w:ind w:left="-5" w:right="0"/>
      </w:pPr>
      <w:r>
        <w:t xml:space="preserve">systematic </w:t>
      </w:r>
      <w:r>
        <w:tab/>
        <w:t xml:space="preserve">review </w:t>
      </w:r>
      <w:r>
        <w:tab/>
        <w:t xml:space="preserve">with </w:t>
      </w:r>
      <w:r>
        <w:tab/>
        <w:t xml:space="preserve">future </w:t>
      </w:r>
      <w:r>
        <w:tab/>
        <w:t xml:space="preserve">directions. </w:t>
      </w:r>
      <w:r>
        <w:tab/>
        <w:t xml:space="preserve">Human </w:t>
      </w:r>
      <w:r>
        <w:tab/>
        <w:t xml:space="preserve">Resource </w:t>
      </w:r>
      <w:r>
        <w:tab/>
        <w:t>Health.</w:t>
      </w:r>
      <w:r>
        <w:rPr>
          <w:rFonts w:ascii="Calibri" w:eastAsia="Calibri" w:hAnsi="Calibri" w:cs="Calibri"/>
          <w:sz w:val="22"/>
        </w:rPr>
        <w:t xml:space="preserve"> </w:t>
      </w:r>
      <w:r>
        <w:t xml:space="preserve">https://doi.org/10.1186/s12960-022-00764-7 </w:t>
      </w:r>
    </w:p>
    <w:p w14:paraId="1B2B9AB9" w14:textId="77777777" w:rsidR="00866DA2" w:rsidRDefault="00866DA2">
      <w:pPr>
        <w:spacing w:after="0" w:line="259" w:lineRule="auto"/>
        <w:ind w:left="0" w:right="0" w:firstLine="0"/>
        <w:jc w:val="left"/>
      </w:pPr>
    </w:p>
    <w:sectPr w:rsidR="00866DA2">
      <w:pgSz w:w="11906" w:h="16838"/>
      <w:pgMar w:top="1440" w:right="1433" w:bottom="144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001C"/>
    <w:multiLevelType w:val="multilevel"/>
    <w:tmpl w:val="E5F47E30"/>
    <w:lvl w:ilvl="0">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84411A1"/>
    <w:multiLevelType w:val="hybridMultilevel"/>
    <w:tmpl w:val="014C0280"/>
    <w:lvl w:ilvl="0" w:tplc="6BAAB37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DE36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A745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72EA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C86E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CD1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7445E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E55C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140A7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2867986">
    <w:abstractNumId w:val="1"/>
  </w:num>
  <w:num w:numId="2" w16cid:durableId="5667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5B1"/>
    <w:rsid w:val="002D16DF"/>
    <w:rsid w:val="006D2EFA"/>
    <w:rsid w:val="00866DA2"/>
    <w:rsid w:val="00A7755C"/>
    <w:rsid w:val="00C20791"/>
    <w:rsid w:val="00D77466"/>
    <w:rsid w:val="00ED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0EBB62"/>
  <w15:docId w15:val="{66C29F0C-C918-BF49-8FED-70542474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49" w:lineRule="auto"/>
      <w:ind w:left="10" w:right="9" w:hanging="10"/>
      <w:jc w:val="both"/>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numPr>
        <w:numId w:val="2"/>
      </w:numPr>
      <w:spacing w:after="157" w:line="259" w:lineRule="auto"/>
      <w:ind w:left="28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numPr>
        <w:ilvl w:val="1"/>
        <w:numId w:val="2"/>
      </w:numPr>
      <w:spacing w:after="157" w:line="259" w:lineRule="auto"/>
      <w:ind w:left="284"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doi.org/10.1108/ITP-02-2022-0079" TargetMode="External"/><Relationship Id="rId21" Type="http://schemas.openxmlformats.org/officeDocument/2006/relationships/hyperlink" Target="https://www.utusan.com.my/berita/2023/04/196664-petugas-kesihatan%20berhenti/" TargetMode="External"/><Relationship Id="rId42" Type="http://schemas.openxmlformats.org/officeDocument/2006/relationships/hyperlink" Target="https://www.oracle.com/my/human-capital-management/cost-employee-turnover-healthcare/" TargetMode="External"/><Relationship Id="rId47" Type="http://schemas.openxmlformats.org/officeDocument/2006/relationships/hyperlink" Target="https://www.oracle.com/my/human-capital-management/cost-employee-turnover-healthcare/" TargetMode="External"/><Relationship Id="rId63" Type="http://schemas.openxmlformats.org/officeDocument/2006/relationships/hyperlink" Target="https://www.managementnote.com/organizational-citizenship-behaviour-2/" TargetMode="External"/><Relationship Id="rId68" Type="http://schemas.openxmlformats.org/officeDocument/2006/relationships/hyperlink" Target="https://www.managementnote.com/organizational-citizenship-behaviour-2/" TargetMode="External"/><Relationship Id="rId16" Type="http://schemas.openxmlformats.org/officeDocument/2006/relationships/hyperlink" Target="https://doi.org/10.1037/0021-9010.82.5.812" TargetMode="External"/><Relationship Id="rId11" Type="http://schemas.openxmlformats.org/officeDocument/2006/relationships/hyperlink" Target="https://doi.org/10.1037/0022-3514.57.6.1069" TargetMode="External"/><Relationship Id="rId32" Type="http://schemas.openxmlformats.org/officeDocument/2006/relationships/hyperlink" Target="https://doi.org/10.1108/ITP-02-2022-0079" TargetMode="External"/><Relationship Id="rId37" Type="http://schemas.openxmlformats.org/officeDocument/2006/relationships/hyperlink" Target="https://www.oracle.com/my/human-capital-management/cost-employee-turnover-healthcare/" TargetMode="External"/><Relationship Id="rId53" Type="http://schemas.openxmlformats.org/officeDocument/2006/relationships/hyperlink" Target="https://doi.org/10.1186/s43093-020-00027-8" TargetMode="External"/><Relationship Id="rId58" Type="http://schemas.openxmlformats.org/officeDocument/2006/relationships/hyperlink" Target="https://doi.org/10.1186/s43093-020-00027-8" TargetMode="External"/><Relationship Id="rId74" Type="http://schemas.openxmlformats.org/officeDocument/2006/relationships/hyperlink" Target="https://doi.org/https:/doi.org/10.1177/1096348020963701" TargetMode="External"/><Relationship Id="rId79" Type="http://schemas.openxmlformats.org/officeDocument/2006/relationships/fontTable" Target="fontTable.xml"/><Relationship Id="rId5" Type="http://schemas.openxmlformats.org/officeDocument/2006/relationships/image" Target="media/image1.jpg"/><Relationship Id="rId61" Type="http://schemas.openxmlformats.org/officeDocument/2006/relationships/hyperlink" Target="https://doi.org/10.1016/j.heliyon.2022.e09450" TargetMode="External"/><Relationship Id="rId19" Type="http://schemas.openxmlformats.org/officeDocument/2006/relationships/hyperlink" Target="https://www.utusan.com.my/berita/2023/04/196664-petugas-kesihatan%20berhenti/" TargetMode="External"/><Relationship Id="rId14" Type="http://schemas.openxmlformats.org/officeDocument/2006/relationships/hyperlink" Target="https://doi.org/10.1037/0022-3514.57.6.1069" TargetMode="External"/><Relationship Id="rId22" Type="http://schemas.openxmlformats.org/officeDocument/2006/relationships/hyperlink" Target="https://www.utusan.com.my/berita/2023/04/196664-petugas-kesihatan%20berhenti/" TargetMode="External"/><Relationship Id="rId27" Type="http://schemas.openxmlformats.org/officeDocument/2006/relationships/hyperlink" Target="https://doi.org/10.1108/ITP-02-2022-0079" TargetMode="External"/><Relationship Id="rId30" Type="http://schemas.openxmlformats.org/officeDocument/2006/relationships/hyperlink" Target="https://doi.org/10.1108/ITP-02-2022-0079" TargetMode="External"/><Relationship Id="rId35" Type="http://schemas.openxmlformats.org/officeDocument/2006/relationships/hyperlink" Target="https://www.oracle.com/my/human-capital-management/cost-employee-turnover-healthcare/" TargetMode="External"/><Relationship Id="rId43" Type="http://schemas.openxmlformats.org/officeDocument/2006/relationships/hyperlink" Target="https://www.oracle.com/my/human-capital-management/cost-employee-turnover-healthcare/" TargetMode="External"/><Relationship Id="rId48" Type="http://schemas.openxmlformats.org/officeDocument/2006/relationships/hyperlink" Target="https://www.simplypsychology.org/self-efficacy.html" TargetMode="External"/><Relationship Id="rId56" Type="http://schemas.openxmlformats.org/officeDocument/2006/relationships/hyperlink" Target="https://doi.org/10.1186/s43093-020-00027-8" TargetMode="External"/><Relationship Id="rId64" Type="http://schemas.openxmlformats.org/officeDocument/2006/relationships/hyperlink" Target="https://www.managementnote.com/organizational-citizenship-behaviour-2/" TargetMode="External"/><Relationship Id="rId69" Type="http://schemas.openxmlformats.org/officeDocument/2006/relationships/hyperlink" Target="https://www.managementnote.com/organizational-citizenship-behaviour-2/" TargetMode="External"/><Relationship Id="rId77" Type="http://schemas.openxmlformats.org/officeDocument/2006/relationships/hyperlink" Target="https://doi.org/https:/doi.org/https:/doi.org/10.1016/j.tourman.2021.104385" TargetMode="External"/><Relationship Id="rId8" Type="http://schemas.openxmlformats.org/officeDocument/2006/relationships/hyperlink" Target="https://doi.org/10.34001/jmer.2021.12.02.2-20" TargetMode="External"/><Relationship Id="rId51" Type="http://schemas.openxmlformats.org/officeDocument/2006/relationships/hyperlink" Target="https://www.simplypsychology.org/self-efficacy.html" TargetMode="External"/><Relationship Id="rId72" Type="http://schemas.openxmlformats.org/officeDocument/2006/relationships/hyperlink" Target="https://doi.org/10.47750/QAS/24.192.45" TargetMode="External"/><Relationship Id="rId80"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hyperlink" Target="https://doi.org/10.1037/0022-3514.57.6.1069" TargetMode="External"/><Relationship Id="rId17" Type="http://schemas.openxmlformats.org/officeDocument/2006/relationships/hyperlink" Target="https://doi.org/10.1037/0021-9010.82.5.812" TargetMode="External"/><Relationship Id="rId25" Type="http://schemas.openxmlformats.org/officeDocument/2006/relationships/hyperlink" Target="https://doi.org/10.1108/ITP-02-2022-0079" TargetMode="External"/><Relationship Id="rId33" Type="http://schemas.openxmlformats.org/officeDocument/2006/relationships/hyperlink" Target="https://doi.org/10.3390/proceedings2022082007" TargetMode="External"/><Relationship Id="rId38" Type="http://schemas.openxmlformats.org/officeDocument/2006/relationships/hyperlink" Target="https://www.oracle.com/my/human-capital-management/cost-employee-turnover-healthcare/" TargetMode="External"/><Relationship Id="rId46" Type="http://schemas.openxmlformats.org/officeDocument/2006/relationships/hyperlink" Target="https://www.oracle.com/my/human-capital-management/cost-employee-turnover-healthcare/" TargetMode="External"/><Relationship Id="rId59" Type="http://schemas.openxmlformats.org/officeDocument/2006/relationships/hyperlink" Target="https://doi.org/10.1186/s43093-020-00027-8" TargetMode="External"/><Relationship Id="rId67" Type="http://schemas.openxmlformats.org/officeDocument/2006/relationships/hyperlink" Target="https://www.managementnote.com/organizational-citizenship-behaviour-2/" TargetMode="External"/><Relationship Id="rId20" Type="http://schemas.openxmlformats.org/officeDocument/2006/relationships/hyperlink" Target="https://www.utusan.com.my/berita/2023/04/196664-petugas-kesihatan%20berhenti/" TargetMode="External"/><Relationship Id="rId41" Type="http://schemas.openxmlformats.org/officeDocument/2006/relationships/hyperlink" Target="https://www.oracle.com/my/human-capital-management/cost-employee-turnover-healthcare/" TargetMode="External"/><Relationship Id="rId54" Type="http://schemas.openxmlformats.org/officeDocument/2006/relationships/hyperlink" Target="https://doi.org/10.1186/s43093-020-00027-8" TargetMode="External"/><Relationship Id="rId62" Type="http://schemas.openxmlformats.org/officeDocument/2006/relationships/hyperlink" Target="https://www.managementnote.com/organizational-citizenship-behaviour-2/" TargetMode="External"/><Relationship Id="rId70" Type="http://schemas.openxmlformats.org/officeDocument/2006/relationships/hyperlink" Target="https://doi.org/10.47750/QAS/24.192.45" TargetMode="External"/><Relationship Id="rId75" Type="http://schemas.openxmlformats.org/officeDocument/2006/relationships/hyperlink" Target="https://doi.org/10.13106/JAFEB.2020.VOL7.NO9.781" TargetMode="External"/><Relationship Id="rId1" Type="http://schemas.openxmlformats.org/officeDocument/2006/relationships/numbering" Target="numbering.xml"/><Relationship Id="rId6" Type="http://schemas.openxmlformats.org/officeDocument/2006/relationships/hyperlink" Target="https://doi.org/10.34001/jmer.2021.12.02.2-20" TargetMode="External"/><Relationship Id="rId15" Type="http://schemas.openxmlformats.org/officeDocument/2006/relationships/hyperlink" Target="https://doi.org/10.1037/0021-9010.82.5.812" TargetMode="External"/><Relationship Id="rId23" Type="http://schemas.openxmlformats.org/officeDocument/2006/relationships/hyperlink" Target="https://www.utusan.com.my/berita/2023/04/196664-petugas-kesihatan%20berhenti/" TargetMode="External"/><Relationship Id="rId28" Type="http://schemas.openxmlformats.org/officeDocument/2006/relationships/hyperlink" Target="https://doi.org/10.1108/ITP-02-2022-0079" TargetMode="External"/><Relationship Id="rId36" Type="http://schemas.openxmlformats.org/officeDocument/2006/relationships/hyperlink" Target="https://www.oracle.com/my/human-capital-management/cost-employee-turnover-healthcare/" TargetMode="External"/><Relationship Id="rId49" Type="http://schemas.openxmlformats.org/officeDocument/2006/relationships/hyperlink" Target="https://www.simplypsychology.org/self-efficacy.html" TargetMode="External"/><Relationship Id="rId57" Type="http://schemas.openxmlformats.org/officeDocument/2006/relationships/hyperlink" Target="https://doi.org/10.1186/s43093-020-00027-8" TargetMode="External"/><Relationship Id="rId10" Type="http://schemas.openxmlformats.org/officeDocument/2006/relationships/hyperlink" Target="https://doi.org/10.34001/jmer.2021.12.02.2-20" TargetMode="External"/><Relationship Id="rId31" Type="http://schemas.openxmlformats.org/officeDocument/2006/relationships/hyperlink" Target="https://doi.org/10.1108/ITP-02-2022-0079" TargetMode="External"/><Relationship Id="rId44" Type="http://schemas.openxmlformats.org/officeDocument/2006/relationships/hyperlink" Target="https://www.oracle.com/my/human-capital-management/cost-employee-turnover-healthcare/" TargetMode="External"/><Relationship Id="rId52" Type="http://schemas.openxmlformats.org/officeDocument/2006/relationships/hyperlink" Target="https://doi.org/10.1186/s43093-020-00027-8" TargetMode="External"/><Relationship Id="rId60" Type="http://schemas.openxmlformats.org/officeDocument/2006/relationships/hyperlink" Target="https://doi.org/10.1016/j.heliyon.2022.e09450" TargetMode="External"/><Relationship Id="rId65" Type="http://schemas.openxmlformats.org/officeDocument/2006/relationships/hyperlink" Target="https://www.managementnote.com/organizational-citizenship-behaviour-2/" TargetMode="External"/><Relationship Id="rId73" Type="http://schemas.openxmlformats.org/officeDocument/2006/relationships/hyperlink" Target="https://doi.org/https:/doi.org/10.1177/1096348020963701" TargetMode="External"/><Relationship Id="rId78" Type="http://schemas.openxmlformats.org/officeDocument/2006/relationships/hyperlink" Target="https://doi.org/https:/doi.org/https:/doi.org/10.1016/j.tourman.2021.104385"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4001/jmer.2021.12.02.2-20" TargetMode="External"/><Relationship Id="rId13" Type="http://schemas.openxmlformats.org/officeDocument/2006/relationships/hyperlink" Target="https://doi.org/10.1037/0022-3514.57.6.1069" TargetMode="External"/><Relationship Id="rId18" Type="http://schemas.openxmlformats.org/officeDocument/2006/relationships/hyperlink" Target="https://doi.org/10.1037/0021-9010.82.5.812" TargetMode="External"/><Relationship Id="rId39" Type="http://schemas.openxmlformats.org/officeDocument/2006/relationships/hyperlink" Target="https://www.oracle.com/my/human-capital-management/cost-employee-turnover-healthcare/" TargetMode="External"/><Relationship Id="rId34" Type="http://schemas.openxmlformats.org/officeDocument/2006/relationships/hyperlink" Target="https://doi.org/10.3390/proceedings2022082007" TargetMode="External"/><Relationship Id="rId50" Type="http://schemas.openxmlformats.org/officeDocument/2006/relationships/hyperlink" Target="https://www.simplypsychology.org/self-efficacy.html" TargetMode="External"/><Relationship Id="rId55" Type="http://schemas.openxmlformats.org/officeDocument/2006/relationships/hyperlink" Target="https://doi.org/10.1186/s43093-020-00027-8" TargetMode="External"/><Relationship Id="rId76" Type="http://schemas.openxmlformats.org/officeDocument/2006/relationships/hyperlink" Target="https://doi.org/10.13106/JAFEB.2020.VOL7.NO9.781" TargetMode="External"/><Relationship Id="rId7" Type="http://schemas.openxmlformats.org/officeDocument/2006/relationships/hyperlink" Target="https://doi.org/10.34001/jmer.2021.12.02.2-20" TargetMode="External"/><Relationship Id="rId71" Type="http://schemas.openxmlformats.org/officeDocument/2006/relationships/hyperlink" Target="https://doi.org/10.47750/QAS/24.192.45" TargetMode="External"/><Relationship Id="rId2" Type="http://schemas.openxmlformats.org/officeDocument/2006/relationships/styles" Target="styles.xml"/><Relationship Id="rId29" Type="http://schemas.openxmlformats.org/officeDocument/2006/relationships/hyperlink" Target="https://doi.org/10.1108/ITP-02-2022-0079" TargetMode="External"/><Relationship Id="rId24" Type="http://schemas.openxmlformats.org/officeDocument/2006/relationships/hyperlink" Target="https://www.utusan.com.my/berita/2023/04/196664-petugas-kesihatan%20berhenti/" TargetMode="External"/><Relationship Id="rId40" Type="http://schemas.openxmlformats.org/officeDocument/2006/relationships/hyperlink" Target="https://www.oracle.com/my/human-capital-management/cost-employee-turnover-healthcare/" TargetMode="External"/><Relationship Id="rId45" Type="http://schemas.openxmlformats.org/officeDocument/2006/relationships/hyperlink" Target="https://www.oracle.com/my/human-capital-management/cost-employee-turnover-healthcare/" TargetMode="External"/><Relationship Id="rId66" Type="http://schemas.openxmlformats.org/officeDocument/2006/relationships/hyperlink" Target="https://www.managementnote.com/organizational-citizenship-behaviour-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B697FA7BED5440978216F08D9C56AF"/>
        <w:category>
          <w:name w:val="General"/>
          <w:gallery w:val="placeholder"/>
        </w:category>
        <w:types>
          <w:type w:val="bbPlcHdr"/>
        </w:types>
        <w:behaviors>
          <w:behavior w:val="content"/>
        </w:behaviors>
        <w:guid w:val="{C94536BA-3D2A-024C-B9DC-B761BF9A86C2}"/>
      </w:docPartPr>
      <w:docPartBody>
        <w:p w:rsidR="000A4A13" w:rsidRDefault="004C6521" w:rsidP="004C6521">
          <w:pPr>
            <w:pStyle w:val="07B697FA7BED5440978216F08D9C56AF"/>
          </w:pPr>
          <w:r w:rsidRPr="007A60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21"/>
    <w:rsid w:val="000A4A13"/>
    <w:rsid w:val="003D273C"/>
    <w:rsid w:val="004C6521"/>
    <w:rsid w:val="006D2EFA"/>
    <w:rsid w:val="006E7427"/>
    <w:rsid w:val="00F23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6521"/>
    <w:rPr>
      <w:color w:val="666666"/>
    </w:rPr>
  </w:style>
  <w:style w:type="paragraph" w:customStyle="1" w:styleId="07B697FA7BED5440978216F08D9C56AF">
    <w:name w:val="07B697FA7BED5440978216F08D9C56AF"/>
    <w:rsid w:val="004C65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4203001271</dc:creator>
  <cp:keywords/>
  <cp:lastModifiedBy>MUHAMMAD FARHAN BIN ABDUL LATIP</cp:lastModifiedBy>
  <cp:revision>3</cp:revision>
  <dcterms:created xsi:type="dcterms:W3CDTF">2026-06-17T13:25:00Z</dcterms:created>
  <dcterms:modified xsi:type="dcterms:W3CDTF">2026-06-17T13:32:00Z</dcterms:modified>
</cp:coreProperties>
</file>