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8345E" w:rsidRDefault="00000000" w:rsidP="00334C03">
      <w:pPr>
        <w:spacing w:before="1440" w:after="200"/>
        <w:jc w:val="both"/>
      </w:pPr>
      <w:r>
        <w:rPr>
          <w:b/>
          <w:bCs/>
          <w:sz w:val="28"/>
          <w:szCs w:val="28"/>
        </w:rPr>
        <w:t>THE CRISIS OF PRE-TRIAL DETENTION AND PRISON CONDITIONS IN SIERRA LEONE:</w:t>
      </w:r>
    </w:p>
    <w:p w14:paraId="00000003" w14:textId="0A1CB45C" w:rsidR="00D8345E" w:rsidRDefault="00000000" w:rsidP="00334C03">
      <w:pPr>
        <w:spacing w:after="600"/>
        <w:jc w:val="center"/>
        <w:rPr>
          <w:b/>
          <w:bCs/>
          <w:sz w:val="26"/>
          <w:szCs w:val="26"/>
        </w:rPr>
      </w:pPr>
      <w:r>
        <w:rPr>
          <w:b/>
          <w:bCs/>
          <w:sz w:val="26"/>
          <w:szCs w:val="26"/>
        </w:rPr>
        <w:t/>
      </w:r>
    </w:p>
    <w:p w14:paraId="50A65D96" w14:textId="15A0509C" w:rsidR="00334C03" w:rsidRPr="00334C03" w:rsidRDefault="00000000">
      <w:pPr>
        <w:spacing w:after="80"/>
        <w:rPr>
          <w:b/>
          <w:bCs/>
          <w:i/>
          <w:iCs/>
        </w:rPr>
      </w:pPr>
      <w:r w:rsidRPr="00334C03">
        <w:rPr>
          <w:b/>
          <w:bCs/>
          <w:i/>
          <w:iCs/>
        </w:rPr>
        <w:t/>
      </w:r>
      <w:r w:rsidR="00334C03" w:rsidRPr="00334C03">
        <w:rPr>
          <w:b/>
          <w:bCs/>
          <w:i/>
          <w:iCs/>
          <w:vertAlign w:val="superscript"/>
        </w:rPr>
        <w:t/>
      </w:r>
      <w:r w:rsidRPr="00334C03">
        <w:rPr>
          <w:b/>
          <w:bCs/>
          <w:i/>
          <w:iCs/>
        </w:rPr>
        <w:t xml:space="preserve"/>
      </w:r>
      <w:r w:rsidR="00334C03">
        <w:rPr>
          <w:b/>
          <w:bCs/>
          <w:i/>
          <w:iCs/>
        </w:rPr>
        <w:t xml:space="preserve"/>
      </w:r>
      <w:r w:rsidRPr="00334C03">
        <w:rPr>
          <w:b/>
          <w:bCs/>
          <w:i/>
          <w:iCs/>
        </w:rPr>
        <w:t/>
      </w:r>
      <w:r w:rsidR="00334C03" w:rsidRPr="00334C03">
        <w:rPr>
          <w:b/>
          <w:bCs/>
          <w:i/>
          <w:iCs/>
          <w:vertAlign w:val="superscript"/>
        </w:rPr>
        <w:t/>
      </w:r>
      <w:r w:rsidRPr="00334C03">
        <w:rPr>
          <w:b/>
          <w:bCs/>
          <w:i/>
          <w:iCs/>
        </w:rPr>
        <w:t/>
      </w:r>
      <w:r w:rsidR="00334C03" w:rsidRPr="00334C03">
        <w:rPr>
          <w:b/>
          <w:bCs/>
          <w:i/>
          <w:iCs/>
        </w:rPr>
        <w:t xml:space="preserve"/>
      </w:r>
      <w:r w:rsidR="00334C03">
        <w:rPr>
          <w:b/>
          <w:bCs/>
          <w:i/>
          <w:iCs/>
        </w:rPr>
        <w:t xml:space="preserve"/>
      </w:r>
      <w:r w:rsidR="00334C03" w:rsidRPr="00334C03">
        <w:rPr>
          <w:b/>
          <w:bCs/>
          <w:i/>
          <w:iCs/>
        </w:rPr>
        <w:t/>
      </w:r>
      <w:r w:rsidR="00334C03" w:rsidRPr="00334C03">
        <w:rPr>
          <w:b/>
          <w:bCs/>
          <w:i/>
          <w:iCs/>
          <w:vertAlign w:val="superscript"/>
        </w:rPr>
        <w:t/>
      </w:r>
      <w:r w:rsidR="00334C03" w:rsidRPr="00334C03">
        <w:rPr>
          <w:b/>
          <w:bCs/>
          <w:i/>
          <w:iCs/>
        </w:rPr>
        <w:t xml:space="preserve"/>
      </w:r>
      <w:r w:rsidRPr="00334C03">
        <w:rPr>
          <w:b/>
          <w:bCs/>
          <w:i/>
          <w:iCs/>
        </w:rPr>
        <w:t xml:space="preserve"/>
      </w:r>
    </w:p>
    <w:p w14:paraId="00000005" w14:textId="77777777" w:rsidR="00D8345E" w:rsidRDefault="00000000">
      <w:pPr>
        <w:spacing w:after="40"/>
        <w:jc w:val="center"/>
        <w:rPr>
          <w:sz w:val="28"/>
          <w:szCs w:val="28"/>
        </w:rPr>
      </w:pPr>
      <w:r>
        <w:rPr>
          <w:color w:val="555555"/>
          <w:sz w:val="28"/>
          <w:szCs w:val="28"/>
        </w:rPr>
        <w:t/>
      </w:r>
    </w:p>
    <w:p w14:paraId="00000006" w14:textId="77777777" w:rsidR="00D8345E" w:rsidRDefault="00000000">
      <w:pPr>
        <w:spacing w:after="40"/>
        <w:jc w:val="center"/>
        <w:rPr>
          <w:sz w:val="28"/>
          <w:szCs w:val="28"/>
        </w:rPr>
      </w:pPr>
      <w:r>
        <w:rPr>
          <w:color w:val="555555"/>
          <w:sz w:val="28"/>
          <w:szCs w:val="28"/>
        </w:rPr>
        <w:t/>
      </w:r>
    </w:p>
    <w:p w14:paraId="5EDD559A" w14:textId="77777777" w:rsidR="00334C03" w:rsidRDefault="00000000">
      <w:pPr>
        <w:spacing w:after="120"/>
        <w:jc w:val="center"/>
        <w:rPr>
          <w:color w:val="555555"/>
          <w:sz w:val="28"/>
          <w:szCs w:val="28"/>
        </w:rPr>
      </w:pPr>
      <w:r>
        <w:rPr>
          <w:color w:val="555555"/>
          <w:sz w:val="28"/>
          <w:szCs w:val="28"/>
        </w:rPr>
        <w:t/>
      </w:r>
    </w:p>
    <w:p w14:paraId="6C29DAB2" w14:textId="53051261" w:rsidR="00334C03" w:rsidRDefault="00334C03" w:rsidP="00334C03">
      <w:pPr>
        <w:spacing w:after="120"/>
        <w:jc w:val="center"/>
        <w:rPr>
          <w:i/>
          <w:iCs/>
          <w:sz w:val="28"/>
          <w:szCs w:val="28"/>
        </w:rPr>
      </w:pPr>
      <w:r w:rsidRPr="00334C03">
        <w:rPr>
          <w:color w:val="555555"/>
          <w:sz w:val="28"/>
          <w:szCs w:val="28"/>
          <w:vertAlign w:val="superscript"/>
        </w:rPr>
        <w:t/>
      </w:r>
      <w:r>
        <w:rPr>
          <w:color w:val="555555"/>
          <w:sz w:val="28"/>
          <w:szCs w:val="28"/>
        </w:rPr>
        <w:t xml:space="preserve"/>
      </w:r>
    </w:p>
    <w:p w14:paraId="00000007" w14:textId="30A902CE" w:rsidR="00D8345E" w:rsidRDefault="00000000">
      <w:pPr>
        <w:spacing w:after="120"/>
        <w:jc w:val="center"/>
        <w:rPr>
          <w:i/>
          <w:iCs/>
          <w:sz w:val="28"/>
          <w:szCs w:val="28"/>
        </w:rPr>
      </w:pPr>
      <w:r>
        <w:rPr>
          <w:color w:val="555555"/>
          <w:sz w:val="28"/>
          <w:szCs w:val="28"/>
        </w:rPr>
        <w:t xml:space="preserve"> </w:t>
      </w:r>
    </w:p>
    <w:p w14:paraId="00000008" w14:textId="77777777" w:rsidR="00D8345E" w:rsidRDefault="00D8345E">
      <w:pPr>
        <w:spacing w:before="240" w:after="80"/>
        <w:jc w:val="center"/>
        <w:rPr>
          <w:rFonts w:ascii="Arial" w:eastAsia="Arial" w:hAnsi="Arial" w:cs="Arial"/>
          <w:color w:val="4A4A4A"/>
          <w:sz w:val="20"/>
          <w:szCs w:val="20"/>
        </w:rPr>
      </w:pPr>
    </w:p>
    <w:p w14:paraId="00000009" w14:textId="77777777" w:rsidR="00D8345E" w:rsidRDefault="00D8345E">
      <w:pPr>
        <w:spacing w:after="600"/>
        <w:jc w:val="center"/>
        <w:rPr>
          <w:b/>
          <w:bCs/>
          <w:sz w:val="26"/>
          <w:szCs w:val="26"/>
        </w:rPr>
      </w:pPr>
    </w:p>
    <w:p w14:paraId="0000000A" w14:textId="77777777" w:rsidR="00D8345E" w:rsidRDefault="00D8345E">
      <w:pPr>
        <w:spacing w:after="600"/>
        <w:jc w:val="center"/>
        <w:rPr>
          <w:b/>
          <w:bCs/>
          <w:sz w:val="26"/>
          <w:szCs w:val="26"/>
        </w:rPr>
      </w:pPr>
    </w:p>
    <w:p w14:paraId="0000000B" w14:textId="77777777" w:rsidR="00D8345E" w:rsidRDefault="00D8345E">
      <w:pPr>
        <w:spacing w:after="600"/>
        <w:jc w:val="center"/>
        <w:rPr>
          <w:b/>
          <w:bCs/>
          <w:sz w:val="26"/>
          <w:szCs w:val="26"/>
        </w:rPr>
      </w:pPr>
    </w:p>
    <w:p w14:paraId="0000000C" w14:textId="77777777" w:rsidR="00D8345E" w:rsidRDefault="00000000">
      <w:pPr>
        <w:spacing w:after="200"/>
        <w:jc w:val="center"/>
      </w:pPr>
      <w:r>
        <w:rPr>
          <w:i/>
          <w:iCs/>
        </w:rPr>
        <w:t/>
      </w:r>
    </w:p>
    <w:p w14:paraId="0000000D" w14:textId="77777777" w:rsidR="00D8345E" w:rsidRDefault="00D8345E">
      <w:pPr>
        <w:spacing w:after="1440"/>
        <w:jc w:val="center"/>
      </w:pPr>
    </w:p>
    <w:p w14:paraId="0000000F" w14:textId="049EFDA4" w:rsidR="00D8345E" w:rsidRDefault="00000000" w:rsidP="00334C03">
      <w:r>
        <w:br w:type="page"/>
      </w:r>
      <w:r>
        <w:rPr>
          <w:b/>
          <w:bCs/>
          <w:sz w:val="28"/>
          <w:szCs w:val="28"/>
        </w:rPr>
        <w:lastRenderedPageBreak/>
        <w:t>ABSTRACT</w:t>
      </w:r>
    </w:p>
    <w:p w14:paraId="00000010" w14:textId="77777777" w:rsidR="00D8345E" w:rsidRDefault="00000000">
      <w:pPr>
        <w:spacing w:after="200" w:line="360" w:lineRule="auto"/>
        <w:jc w:val="both"/>
      </w:pPr>
      <w:r>
        <w:t xml:space="preserve">This paper investigates the crisis of pre-trial detention and prison conditions in Sierra Leone, examining systemic deficiencies identified by the Human Rights Commission of Sierra Leone (HRCSL), Prison Watch Sierra Leone (PWSL), international human rights bodies, and comparative legal scholarship. Sierra Leone's correctional facilities are characterised by chronic severe overcrowding—holding more than double their designed capacity; prolonged pre-trial detention routinely exceeding two to three years; failure to separate accused persons from convicted inmates; inadequate sanitation and medical care; and acute resource deficiencies. The paper traces the root causes of these failures to structural delays in the processing of indictments, the unavailability of affordable legal representation, the practical inaccessibility of bail for impoverished accused persons, judicial under-resourcing, and a legislative framework that until recently afforded no meaningful statutory time limits on remand detention. Drawing on classical legal authority—from </w:t>
      </w:r>
      <w:r>
        <w:rPr>
          <w:i/>
          <w:iCs/>
        </w:rPr>
        <w:t>Entick v Carrington</w:t>
      </w:r>
      <w:r>
        <w:t xml:space="preserve"> (1765) through modern international instruments—the paper then assesses the extent to which the Criminal Procedure Act 2024 (CPA 2024), which introduces time limits on pre-trial detention, mandates legal representation, and creates a suite of non-custodial sentencing alternatives, offers a credible solution to a crisis that has persisted for decades. The paper concludes that, while the CPA 2024 represents a landmark legislative advance, its effectiveness will depend on sustained investment in judicial infrastructure, legal aid, and independent monitoring.</w:t>
      </w:r>
    </w:p>
    <w:p w14:paraId="00000011" w14:textId="77777777" w:rsidR="00D8345E" w:rsidRDefault="00D8345E">
      <w:pPr>
        <w:spacing w:after="200" w:line="360" w:lineRule="auto"/>
        <w:jc w:val="both"/>
      </w:pPr>
    </w:p>
    <w:p w14:paraId="00000012" w14:textId="77777777" w:rsidR="00D8345E" w:rsidRDefault="00000000">
      <w:pPr>
        <w:spacing w:after="200" w:line="360" w:lineRule="auto"/>
        <w:jc w:val="both"/>
        <w:rPr>
          <w:b/>
          <w:bCs/>
          <w:i/>
          <w:iCs/>
        </w:rPr>
      </w:pPr>
      <w:r>
        <w:rPr>
          <w:b/>
          <w:bCs/>
          <w:i/>
          <w:iCs/>
        </w:rPr>
        <w:t>Keywords: Pre-trial, Criminal Procedure Act 2024, Prison Watch Sierra Leone, Bail condition, and statutory time limits.</w:t>
      </w:r>
    </w:p>
    <w:p w14:paraId="00000013" w14:textId="77777777" w:rsidR="00D8345E" w:rsidRDefault="00D8345E"/>
    <w:p w14:paraId="00000014" w14:textId="77777777" w:rsidR="00D8345E" w:rsidRDefault="00D8345E"/>
    <w:p w14:paraId="00000015" w14:textId="77777777" w:rsidR="00D8345E" w:rsidRDefault="00000000">
      <w:r>
        <w:br w:type="page"/>
      </w:r>
    </w:p>
    <w:p w14:paraId="00000016" w14:textId="77777777" w:rsidR="00D8345E" w:rsidRDefault="00D8345E">
      <w:pPr>
        <w:tabs>
          <w:tab w:val="right" w:pos="8640"/>
        </w:tabs>
        <w:spacing w:after="120"/>
      </w:pPr>
    </w:p>
    <w:p w14:paraId="00000017" w14:textId="77777777" w:rsidR="00D8345E" w:rsidRDefault="00000000">
      <w:pPr>
        <w:pStyle w:val="Heading1"/>
      </w:pPr>
      <w:r>
        <w:t>I. INTRODUCTION</w:t>
      </w:r>
    </w:p>
    <w:p w14:paraId="00000018" w14:textId="5C0B5553" w:rsidR="00D8345E" w:rsidRDefault="00000000">
      <w:pPr>
        <w:spacing w:after="200" w:line="360" w:lineRule="auto"/>
        <w:ind w:firstLine="720"/>
        <w:jc w:val="both"/>
      </w:pPr>
      <w:r>
        <w:t xml:space="preserve">The prison and pre-trial detention crisis in Sierra Leone </w:t>
      </w:r>
      <w:r w:rsidR="00334C03">
        <w:t>represent</w:t>
      </w:r>
      <w:r>
        <w:t xml:space="preserve"> one of the most acute and persistent human rights emergencies in the country's post-conflict era. Decades after the end of the civil war, Sierra Leone's correctional infrastructure remains profoundly inadequate, and the use of pretrial detention—that is, the imprisonment of persons who have not yet been convicted of any offense—has become the norm rather than the exception in the operation of the criminal justice system. The Human Rights Commission of Sierra Leone (HRCSL), established under the Human Rights Commission of Sierra Leone Act 2004 as an independent constitutional body charged with monitoring and protecting human rights, has repeatedly documented conditions in correctional facilities that fall far below the minimum standards required by domestic and international law.</w:t>
      </w:r>
      <w:r>
        <w:rPr>
          <w:vertAlign w:val="superscript"/>
        </w:rPr>
        <w:footnoteReference w:id="1"/>
      </w:r>
    </w:p>
    <w:p w14:paraId="00000019" w14:textId="26432BAF" w:rsidR="00D8345E" w:rsidRDefault="00000000">
      <w:pPr>
        <w:spacing w:after="200" w:line="360" w:lineRule="auto"/>
        <w:ind w:firstLine="720"/>
        <w:jc w:val="both"/>
      </w:pPr>
      <w:r>
        <w:t>According to data published in the 2023 United States Department of State Human Rights Report on Sierra Leone, the country's twenty-one prisons, collectively designed to hold 2,495 inmates, held 5,561 individuals as of August 2023 — a utilization rate of approximately 223 percent of designed capacity.</w:t>
      </w:r>
      <w:r>
        <w:rPr>
          <w:vertAlign w:val="superscript"/>
        </w:rPr>
        <w:footnoteReference w:id="2"/>
      </w:r>
      <w:r>
        <w:t xml:space="preserve"> The most egregious example is the Freetown Male Correctional Center, designed for 324 inmates but holding 1,820 persons at the same date — a figure representing 561 percent of capacity. Individual cells measuring approximately six feet by nine feet have been found to contain nine or more inmates.</w:t>
      </w:r>
      <w:r>
        <w:rPr>
          <w:vertAlign w:val="superscript"/>
        </w:rPr>
        <w:footnoteReference w:id="3"/>
      </w:r>
      <w:r>
        <w:t xml:space="preserve"> These are not merely administrative inconveniences; they are conditions that international human rights law </w:t>
      </w:r>
      <w:r w:rsidR="00334C03">
        <w:t>characterised</w:t>
      </w:r>
      <w:r>
        <w:t xml:space="preserve"> as inhuman treatment.</w:t>
      </w:r>
    </w:p>
    <w:p w14:paraId="0000001A" w14:textId="77946C9B" w:rsidR="00D8345E" w:rsidRDefault="00000000">
      <w:pPr>
        <w:spacing w:after="200" w:line="360" w:lineRule="auto"/>
        <w:ind w:firstLine="720"/>
        <w:jc w:val="both"/>
      </w:pPr>
      <w:r>
        <w:t xml:space="preserve">Prison Watch Sierra Leone (PWSL), one of the most active civil society </w:t>
      </w:r>
      <w:r w:rsidR="00334C03">
        <w:t>organizations</w:t>
      </w:r>
      <w:r>
        <w:t xml:space="preserve"> monitoring detention conditions, has documented that pre-trial detention lasting five years is not uncommon, particularly in the provinces where the absence of lawyers, magistrates, and judges combines with poverty and the inability to pay bail to create a system of indefinite de facto imprisonment without trial.</w:t>
      </w:r>
      <w:r>
        <w:rPr>
          <w:vertAlign w:val="superscript"/>
        </w:rPr>
        <w:footnoteReference w:id="4"/>
      </w:r>
      <w:r>
        <w:t xml:space="preserve"> The Campaign for Human Rights and Development International </w:t>
      </w:r>
      <w:r>
        <w:lastRenderedPageBreak/>
        <w:t>(CHRDI) and the PWSL have both reported that pre-trial and remand detainees spend on average between two and three years in detention before their cases are resolved.</w:t>
      </w:r>
      <w:r>
        <w:rPr>
          <w:vertAlign w:val="superscript"/>
        </w:rPr>
        <w:footnoteReference w:id="5"/>
      </w:r>
    </w:p>
    <w:p w14:paraId="0000001B" w14:textId="77777777" w:rsidR="00D8345E" w:rsidRDefault="00000000">
      <w:pPr>
        <w:spacing w:after="200" w:line="360" w:lineRule="auto"/>
        <w:ind w:firstLine="720"/>
        <w:jc w:val="both"/>
      </w:pPr>
      <w:r>
        <w:t>This paper proceeds in ten parts. Part II sets out the applicable international and regional normative framework. Part III presents the empirical evidence of the scale and severity of the crisis. Part IV analyzes the root causes of prolonged pre-trial detention. Part V examines the specific problem of the failure to classify and separate inmates. Part VI places the crisis in the context of classical legal principles protecting the right to liberty. Part VII analyzes the Criminal Procedure Act 2024 as a legislative response. Part VIII assesses the noncustodial sentencing provisions of the Act. Part IX addresses the challenges of implementation. Part X offers conclusions and recommendations.</w:t>
      </w:r>
      <w:r>
        <w:rPr>
          <w:vertAlign w:val="superscript"/>
        </w:rPr>
        <w:footnoteReference w:id="6"/>
      </w:r>
    </w:p>
    <w:p w14:paraId="0000001C" w14:textId="77777777" w:rsidR="00D8345E" w:rsidRDefault="00000000">
      <w:pPr>
        <w:pStyle w:val="Heading1"/>
      </w:pPr>
      <w:r>
        <w:t>II. THE NORMATIVE FRAMEWORK: INTERNATIONAL AND REGIONAL STANDARDS</w:t>
      </w:r>
    </w:p>
    <w:p w14:paraId="0000001D" w14:textId="77777777" w:rsidR="00D8345E" w:rsidRDefault="00000000">
      <w:pPr>
        <w:spacing w:after="200" w:line="360" w:lineRule="auto"/>
        <w:ind w:firstLine="720"/>
        <w:jc w:val="both"/>
      </w:pPr>
      <w:r>
        <w:t>Any analysis of pre-trial detention in Sierra Leone must begin with the relevant international and regional legal framework to which Sierra Leone has voluntarily committed itself. The applicable standards are both numerous and demanding, and they collectively establish a clear baseline below which no state may fall without incurring international responsibility.</w:t>
      </w:r>
    </w:p>
    <w:p w14:paraId="0000001E" w14:textId="77777777" w:rsidR="00D8345E" w:rsidRDefault="00000000">
      <w:pPr>
        <w:pStyle w:val="Heading2"/>
        <w:spacing w:before="300" w:after="150"/>
      </w:pPr>
      <w:r>
        <w:rPr>
          <w:sz w:val="26"/>
          <w:szCs w:val="26"/>
        </w:rPr>
        <w:t>A. The International Covenant on Civil and Political Rights</w:t>
      </w:r>
    </w:p>
    <w:p w14:paraId="0000001F" w14:textId="77777777" w:rsidR="00D8345E" w:rsidRDefault="00000000">
      <w:pPr>
        <w:spacing w:after="200" w:line="360" w:lineRule="auto"/>
        <w:ind w:firstLine="720"/>
        <w:jc w:val="both"/>
      </w:pPr>
      <w:r>
        <w:t xml:space="preserve">Sierra Leone acceded to the International Covenant on Civil and Political Rights (ICCPR) on 23 August 1996. Article 9 of the ICCPR guarantees the right to liberty and security of the person and prohibits arbitrary arrest or detention. Article 9(3) specifically requires that anyone arrested on a criminal charge shall be brought promptly before a judge and shall be entitled to trial within a reasonable time or to release. Article 9(4) guarantees the right to take proceedings before a court so that the court may decide without delay on the lawfulness of the detention, a right that </w:t>
      </w:r>
      <w:r>
        <w:lastRenderedPageBreak/>
        <w:t xml:space="preserve">encompasses the common law writ of </w:t>
      </w:r>
      <w:r>
        <w:rPr>
          <w:i/>
          <w:iCs/>
        </w:rPr>
        <w:t>habeas corpus</w:t>
      </w:r>
      <w:r>
        <w:t>. Article 14 guarantees the right to a fair and public hearing by a competent, independent, and impartial tribunal.</w:t>
      </w:r>
      <w:r>
        <w:rPr>
          <w:vertAlign w:val="superscript"/>
        </w:rPr>
        <w:footnoteReference w:id="7"/>
      </w:r>
    </w:p>
    <w:p w14:paraId="00000020" w14:textId="77777777" w:rsidR="00D8345E" w:rsidRDefault="00000000">
      <w:pPr>
        <w:spacing w:after="200" w:line="360" w:lineRule="auto"/>
        <w:ind w:firstLine="720"/>
        <w:jc w:val="both"/>
      </w:pPr>
      <w:r>
        <w:t>The Human Rights Committee, the treaty body charged with monitoring compliance with the ICCPR, has in General Comment No. 35 (2014) emphasized that pre-trial detention must not be the general rule; that it may be employed only where it is necessary, reasonable, and proportionate; and that it must be reviewed periodically. The committee has further observed that failure to provide adequate conditions of detention—including severe overcrowding—may itself give rise to a violation of Article 10, which requires that all persons deprived of their liberty be treated with humanity and with respect for the inherent dignity of the human person.</w:t>
      </w:r>
      <w:r>
        <w:rPr>
          <w:vertAlign w:val="superscript"/>
        </w:rPr>
        <w:footnoteReference w:id="8"/>
      </w:r>
    </w:p>
    <w:p w14:paraId="00000021" w14:textId="77777777" w:rsidR="00D8345E" w:rsidRDefault="00000000">
      <w:pPr>
        <w:pStyle w:val="Heading2"/>
        <w:spacing w:before="300" w:after="150"/>
      </w:pPr>
      <w:r>
        <w:rPr>
          <w:sz w:val="26"/>
          <w:szCs w:val="26"/>
        </w:rPr>
        <w:t>B. The Nelson Mandela Rules and the Body of Principles</w:t>
      </w:r>
    </w:p>
    <w:p w14:paraId="00000022" w14:textId="77777777" w:rsidR="00D8345E" w:rsidRDefault="00000000">
      <w:pPr>
        <w:spacing w:after="200" w:line="360" w:lineRule="auto"/>
        <w:ind w:firstLine="720"/>
        <w:jc w:val="both"/>
      </w:pPr>
      <w:r>
        <w:t>The revised United Nations Standard Minimum Rules for the Treatment of Prisoners, known as the Nelson Mandela Rules (2015), provide detailed operational standards for the treatment of prisoners. Rule 11 requires that different categories of prisoners be kept in separate institutions or parts of institutions and expressly mandates the separation of untried prisoners from convicted prisoners. Rule 119 provides that untried prisoners shall be presumed innocent and shall be treated as such. Rules 120 and 121 further require that untried prisoners shall be kept separately from convicted prisoners and shall receive the benefits of the presumption of innocence in all aspects of their treatment.</w:t>
      </w:r>
      <w:r>
        <w:rPr>
          <w:vertAlign w:val="superscript"/>
        </w:rPr>
        <w:footnoteReference w:id="9"/>
      </w:r>
    </w:p>
    <w:p w14:paraId="00000023" w14:textId="77777777" w:rsidR="00D8345E" w:rsidRDefault="00000000">
      <w:pPr>
        <w:spacing w:after="200" w:line="360" w:lineRule="auto"/>
        <w:ind w:firstLine="720"/>
        <w:jc w:val="both"/>
      </w:pPr>
      <w:r>
        <w:t xml:space="preserve">The UN Body of Principles for the Protection of All Persons under Any Form of Detention or Imprisonment (1988) — a comprehensive code adopted by the UN General Assembly — reinforces these obligations. Principle 11 requires that a detained person shall be promptly informed of the reasons for the detention and of any charges. Principle 32 entitles a detained or </w:t>
      </w:r>
      <w:r>
        <w:lastRenderedPageBreak/>
        <w:t>imprisoned person to complain about treatment to authorities responsible for the administration of the place of detention and, where necessary, to higher authorities.</w:t>
      </w:r>
      <w:r>
        <w:rPr>
          <w:vertAlign w:val="superscript"/>
        </w:rPr>
        <w:footnoteReference w:id="10"/>
      </w:r>
    </w:p>
    <w:p w14:paraId="00000024" w14:textId="77777777" w:rsidR="00D8345E" w:rsidRDefault="00000000">
      <w:pPr>
        <w:pStyle w:val="Heading2"/>
        <w:spacing w:before="300" w:after="150"/>
      </w:pPr>
      <w:r>
        <w:rPr>
          <w:sz w:val="26"/>
          <w:szCs w:val="26"/>
        </w:rPr>
        <w:t>C. The Tokyo Rules and Non-Custodial Alternatives</w:t>
      </w:r>
    </w:p>
    <w:p w14:paraId="00000025" w14:textId="77777777" w:rsidR="00D8345E" w:rsidRDefault="00000000">
      <w:pPr>
        <w:spacing w:after="200" w:line="360" w:lineRule="auto"/>
        <w:ind w:firstLine="720"/>
        <w:jc w:val="both"/>
      </w:pPr>
      <w:r>
        <w:t>The UN Standard Minimum Rules for Non-Custodial Measures, known as the Tokyo Rules (1990), represent the international community's most detailed articulation of the principle that imprisonment should be used only when no other options are available. Rules 6.1 and 6.2 provide that, at the pre-trial stage, resort to non-custodial measures shall be made as early as possible and that the use of pre-trial detention shall be used as a means of last resort in criminal proceedings, with due regard for the investigation of the alleged offense and for the protection of society and the victim.</w:t>
      </w:r>
      <w:r>
        <w:rPr>
          <w:vertAlign w:val="superscript"/>
        </w:rPr>
        <w:footnoteReference w:id="11"/>
      </w:r>
    </w:p>
    <w:p w14:paraId="00000026" w14:textId="77777777" w:rsidR="00D8345E" w:rsidRDefault="00000000">
      <w:pPr>
        <w:pStyle w:val="Heading2"/>
        <w:spacing w:before="300" w:after="150"/>
      </w:pPr>
      <w:r>
        <w:rPr>
          <w:sz w:val="26"/>
          <w:szCs w:val="26"/>
        </w:rPr>
        <w:t>D. African Regional Standards</w:t>
      </w:r>
    </w:p>
    <w:p w14:paraId="00000027" w14:textId="77777777" w:rsidR="00D8345E" w:rsidRDefault="00000000">
      <w:pPr>
        <w:spacing w:after="200" w:line="360" w:lineRule="auto"/>
        <w:ind w:firstLine="720"/>
        <w:jc w:val="both"/>
      </w:pPr>
      <w:r>
        <w:t>At the regional level, Article 6 of the African Charter on Human and Peoples' Rights (1981) guarantees the right to liberty and security and prohibits arbitrary arrest or detention for parties like Sierra Leone. The African Commission on Human and Peoples' Rights (ACHPR) has elaborated on these obligations through the Luanda Guidelines on the Conditions of Arrest, Police Custody and Pre-Trial Detention in Africa (2014). Guideline 20 specifically provides that pre-trial detention shall be ordered only as a measure of last resort and shall be applied for the shortest possible time; it further requires that detainees awaiting trial shall be kept separately from convicted prisoners.</w:t>
      </w:r>
      <w:r>
        <w:rPr>
          <w:vertAlign w:val="superscript"/>
        </w:rPr>
        <w:footnoteReference w:id="12"/>
      </w:r>
    </w:p>
    <w:p w14:paraId="00000028" w14:textId="77777777" w:rsidR="00D8345E" w:rsidRDefault="00000000">
      <w:pPr>
        <w:spacing w:after="200" w:line="360" w:lineRule="auto"/>
        <w:ind w:firstLine="720"/>
        <w:jc w:val="both"/>
      </w:pPr>
      <w:r>
        <w:t xml:space="preserve">Sierra Leone's own 1991 constitution provides, at Section 17(3), that any person who is arrested or detained shall be brought before a court of law within a reasonable time; failure to comply entitles the detainee to apply for release. The constitutional guarantee, however, has </w:t>
      </w:r>
      <w:r>
        <w:lastRenderedPageBreak/>
        <w:t>operated largely as a formal aspiration given the structural barriers that prevent its meaningful enforcement, as this paper will demonstrate.</w:t>
      </w:r>
      <w:r>
        <w:rPr>
          <w:vertAlign w:val="superscript"/>
        </w:rPr>
        <w:footnoteReference w:id="13"/>
      </w:r>
    </w:p>
    <w:p w14:paraId="00000029" w14:textId="77777777" w:rsidR="00D8345E" w:rsidRDefault="00000000">
      <w:pPr>
        <w:pStyle w:val="Heading1"/>
      </w:pPr>
      <w:r>
        <w:t>III. THE SCALE AND SEVERITY OF THE CRISIS: EMPIRICAL EVIDENCE</w:t>
      </w:r>
    </w:p>
    <w:p w14:paraId="0000002A" w14:textId="77777777" w:rsidR="00D8345E" w:rsidRDefault="00000000">
      <w:pPr>
        <w:spacing w:after="200" w:line="360" w:lineRule="auto"/>
        <w:ind w:firstLine="720"/>
        <w:jc w:val="both"/>
      </w:pPr>
      <w:r>
        <w:t>Multiple credible sources have starkly and well-documented the empirical picture of prison conditions and pre-trial detention in Sierra Leone. The data reveal a correctional system that operates in chronic, severe crisis, exposing tens of thousands of individuals each year to conditions that violate fundamental human dignity.</w:t>
      </w:r>
    </w:p>
    <w:p w14:paraId="0000002B" w14:textId="609AEED2" w:rsidR="00D8345E" w:rsidRDefault="00000000">
      <w:pPr>
        <w:spacing w:after="200" w:line="360" w:lineRule="auto"/>
        <w:ind w:firstLine="720"/>
        <w:jc w:val="both"/>
      </w:pPr>
      <w:r>
        <w:t xml:space="preserve">As noted, the country's twenty-one prisons held 5,561 individuals against a designed capacity of 2,495 as of August 2023 — a national occupancy rate of 223 percent. The Sierra Leone Correctional Services (SLCS) has itself reported that ten prisons and detention </w:t>
      </w:r>
      <w:r w:rsidR="00334C03">
        <w:t>centers</w:t>
      </w:r>
      <w:r>
        <w:t xml:space="preserve"> are moderately overcrowded as a direct result of delays in trials and sentencing.</w:t>
      </w:r>
      <w:r>
        <w:rPr>
          <w:vertAlign w:val="superscript"/>
        </w:rPr>
        <w:footnoteReference w:id="14"/>
      </w:r>
      <w:r>
        <w:t xml:space="preserve"> The HRCSL and PWSL have reported that unhygienic conditions and wholly insufficient medical services at facilities across the country compound overcrowding.</w:t>
      </w:r>
      <w:r>
        <w:rPr>
          <w:vertAlign w:val="superscript"/>
        </w:rPr>
        <w:footnoteReference w:id="15"/>
      </w:r>
    </w:p>
    <w:p w14:paraId="0000002C" w14:textId="77777777" w:rsidR="00D8345E" w:rsidRDefault="00000000">
      <w:pPr>
        <w:spacing w:after="200" w:line="360" w:lineRule="auto"/>
        <w:ind w:firstLine="720"/>
        <w:jc w:val="both"/>
      </w:pPr>
      <w:r>
        <w:t>The duration of pre-trial detention is equally alarming. Multiple NGOs, including CHRDI and PWSL, have reported that pre-trial and remand detainees spend an average of two to three years in pre-trial detention.</w:t>
      </w:r>
      <w:r>
        <w:rPr>
          <w:vertAlign w:val="superscript"/>
        </w:rPr>
        <w:footnoteReference w:id="16"/>
      </w:r>
      <w:r>
        <w:t xml:space="preserve"> PWSL has further documented that five-year periods of pre-trial detention are not unusual in the provinces, where the absence of legal professionals and transportation infrastructure creates effective detention without any meaningful access to justice.</w:t>
      </w:r>
      <w:r>
        <w:rPr>
          <w:vertAlign w:val="superscript"/>
        </w:rPr>
        <w:footnoteReference w:id="17"/>
      </w:r>
      <w:r>
        <w:t xml:space="preserve"> The International Society for Human Rights has confirmed that many inmates are held in pretrial detention for extended periods due to slow judicial proceedings and a backlog of cases and that </w:t>
      </w:r>
      <w:r>
        <w:lastRenderedPageBreak/>
        <w:t>some individuals languish in prison for years without trial, violating their right to a fair and speedy trial under international legal standards.</w:t>
      </w:r>
      <w:r>
        <w:rPr>
          <w:vertAlign w:val="superscript"/>
        </w:rPr>
        <w:footnoteReference w:id="18"/>
      </w:r>
    </w:p>
    <w:p w14:paraId="0000002D" w14:textId="77777777" w:rsidR="00D8345E" w:rsidRDefault="00000000">
      <w:pPr>
        <w:spacing w:after="200" w:line="360" w:lineRule="auto"/>
        <w:ind w:firstLine="720"/>
        <w:jc w:val="both"/>
      </w:pPr>
      <w:r>
        <w:t>The HRCSL has reported that most police holding centers have poor toilet facilities and that cells generally lack proper lighting, space, bedding, ventilation, and protection from infectious diseases at facilities in Port Loko, Kambia, and Bo.</w:t>
      </w:r>
      <w:r>
        <w:rPr>
          <w:vertAlign w:val="superscript"/>
        </w:rPr>
        <w:footnoteReference w:id="19"/>
      </w:r>
      <w:r>
        <w:t xml:space="preserve"> Human Rights Watch has similarly documented conditions characterised by gross overcrowding, inadequate sanitary arrangements, and a lack of proper medical care, describing conditions in multiple facilities as harsh and sometimes life-threatening.</w:t>
      </w:r>
      <w:r>
        <w:rPr>
          <w:vertAlign w:val="superscript"/>
        </w:rPr>
        <w:footnoteReference w:id="20"/>
      </w:r>
    </w:p>
    <w:p w14:paraId="0000002E" w14:textId="77777777" w:rsidR="00D8345E" w:rsidRDefault="00000000">
      <w:pPr>
        <w:spacing w:after="200" w:line="360" w:lineRule="auto"/>
        <w:ind w:firstLine="720"/>
        <w:jc w:val="both"/>
      </w:pPr>
      <w:r>
        <w:t>Particularly vulnerable are women and children. AdvocAid and the Vance Center have documented that approximately three-quarters of women in prison in Sierra Leone are in pre-trial detention.</w:t>
      </w:r>
      <w:r>
        <w:rPr>
          <w:vertAlign w:val="superscript"/>
        </w:rPr>
        <w:footnoteReference w:id="21"/>
      </w:r>
      <w:r>
        <w:t xml:space="preserve"> Most are poor, primary caregivers, and unable to meet bail conditions or retain legal counsel, having been detained frequently for petty offences committed to secure subsistence for their families. Defense for Children International Sierra Leone (DCISL) has reported that indiscriminate detention of children is a significant problem, with children routinely detained in facilities together with adult accused persons and convicted criminals.</w:t>
      </w:r>
      <w:r>
        <w:rPr>
          <w:vertAlign w:val="superscript"/>
        </w:rPr>
        <w:footnoteReference w:id="22"/>
      </w:r>
    </w:p>
    <w:p w14:paraId="0000002F" w14:textId="77777777" w:rsidR="00D8345E" w:rsidRDefault="00000000">
      <w:pPr>
        <w:pStyle w:val="Heading1"/>
      </w:pPr>
      <w:r>
        <w:t>IV. ROOT CAUSES OF PROLONGED PRE-TRIAL DETENTION</w:t>
      </w:r>
    </w:p>
    <w:p w14:paraId="00000030" w14:textId="77777777" w:rsidR="00D8345E" w:rsidRDefault="00000000">
      <w:pPr>
        <w:spacing w:after="200" w:line="360" w:lineRule="auto"/>
        <w:ind w:firstLine="720"/>
        <w:jc w:val="both"/>
      </w:pPr>
      <w:r>
        <w:t>The crisis of pre-trial detention in Sierra Leone is not the product of a single cause but of a confluence of structural, institutional, and socio-economic factors that individually and cumulatively prevent the timely processing of criminal cases. Understanding these causes is essential to evaluating whether legal reform alone can provide an adequate remedy.</w:t>
      </w:r>
    </w:p>
    <w:p w14:paraId="00000031" w14:textId="77777777" w:rsidR="00D8345E" w:rsidRDefault="00000000">
      <w:pPr>
        <w:pStyle w:val="Heading2"/>
        <w:spacing w:before="300" w:after="150"/>
      </w:pPr>
      <w:r>
        <w:rPr>
          <w:sz w:val="26"/>
          <w:szCs w:val="26"/>
        </w:rPr>
        <w:lastRenderedPageBreak/>
        <w:t>A. Delays in Processing Indictments and Court Backlog</w:t>
      </w:r>
    </w:p>
    <w:p w14:paraId="00000032" w14:textId="77777777" w:rsidR="00D8345E" w:rsidRDefault="00000000">
      <w:pPr>
        <w:spacing w:after="200" w:line="360" w:lineRule="auto"/>
        <w:ind w:firstLine="720"/>
        <w:jc w:val="both"/>
      </w:pPr>
      <w:r>
        <w:t>The most immediate cause of prolonged pre-trial detention is the severe backlog of cases in Sierra Leone's courts. The criminal justice system—comprising magistrates' courts at the summary level and the High Court for offenses triable on indictment—suffers from profound institutional under-resourcing. There are insufficient judges, magistrates, court clerks, prosecutors, and physical court infrastructure to process the volume of cases that the system generates. The Center for Accountability and Rule of Law (CARL) has assessed that the judiciary, while maintaining relative independence, is burdened by a caseload that far exceeds its capacity.</w:t>
      </w:r>
      <w:r>
        <w:rPr>
          <w:vertAlign w:val="superscript"/>
        </w:rPr>
        <w:footnoteReference w:id="23"/>
      </w:r>
    </w:p>
    <w:p w14:paraId="00000033" w14:textId="77777777" w:rsidR="00D8345E" w:rsidRDefault="00000000">
      <w:pPr>
        <w:spacing w:after="200" w:line="360" w:lineRule="auto"/>
        <w:ind w:firstLine="720"/>
        <w:jc w:val="both"/>
      </w:pPr>
      <w:r>
        <w:t>The committal proceedings required for cases to be transferred from the Magistrates' Courts to the High Court for trial on indictment have historically been a particular source of delay under the Criminal Procedure Act 1965. Accused persons could remain in custody for extended periods awaiting committal hearings and further extended periods awaiting the preparation and service of indictments. This systemic bottleneck was identified by the Justice Sector Coordination Office (JSCO) as one of the primary drivers of pre-trial detention in Sierra Leone's Justice Sector Reform Strategy 2024–2030.</w:t>
      </w:r>
      <w:r>
        <w:rPr>
          <w:vertAlign w:val="superscript"/>
        </w:rPr>
        <w:footnoteReference w:id="24"/>
      </w:r>
    </w:p>
    <w:p w14:paraId="00000034" w14:textId="77777777" w:rsidR="00D8345E" w:rsidRDefault="00000000">
      <w:pPr>
        <w:pStyle w:val="Heading2"/>
        <w:spacing w:before="300" w:after="150"/>
      </w:pPr>
      <w:r>
        <w:rPr>
          <w:sz w:val="26"/>
          <w:szCs w:val="26"/>
        </w:rPr>
        <w:t>B. The Inability to Meet Bail Conditions</w:t>
      </w:r>
    </w:p>
    <w:p w14:paraId="00000035" w14:textId="77777777" w:rsidR="00D8345E" w:rsidRDefault="00000000">
      <w:pPr>
        <w:spacing w:after="200" w:line="360" w:lineRule="auto"/>
        <w:ind w:firstLine="720"/>
        <w:jc w:val="both"/>
      </w:pPr>
      <w:r>
        <w:t>A distinct but related cause is the practical inability of accused persons — particularly the poor, women, and persons from rural areas — to meet the bail conditions set by courts. Under Sierra Leone law, bail is available as a right for summary offences and available at the discretion of the court for offences triable on indictment. However, the conditions typically attached to bail — including the requirement to provide sureties with property of specified value, to lodge cash deposits, or to satisfy other financial requirements — place bail systematically beyond the reach of the vast majority of accused persons.</w:t>
      </w:r>
      <w:r>
        <w:rPr>
          <w:vertAlign w:val="superscript"/>
        </w:rPr>
        <w:footnoteReference w:id="25"/>
      </w:r>
    </w:p>
    <w:p w14:paraId="00000036" w14:textId="559A5213" w:rsidR="00D8345E" w:rsidRDefault="00000000">
      <w:pPr>
        <w:spacing w:after="200" w:line="360" w:lineRule="auto"/>
        <w:ind w:firstLine="720"/>
        <w:jc w:val="both"/>
      </w:pPr>
      <w:r>
        <w:t xml:space="preserve">Lydia Winyi Kembabazi has documented that most women in pre-trial detention in Sierra Leone are poor, primary caregivers, and illiterate petty traders who cannot meet strict bail </w:t>
      </w:r>
      <w:r>
        <w:lastRenderedPageBreak/>
        <w:t xml:space="preserve">conditions or pay for legal representation. The result is that the bail system, which is intended to protect both the liberty of the accused and the interests of justice, operates in practice as a mechanism that </w:t>
      </w:r>
      <w:r w:rsidR="00907FD5">
        <w:t>criminalizes</w:t>
      </w:r>
      <w:r>
        <w:t xml:space="preserve"> poverty.</w:t>
      </w:r>
      <w:r>
        <w:rPr>
          <w:vertAlign w:val="superscript"/>
        </w:rPr>
        <w:footnoteReference w:id="26"/>
      </w:r>
      <w:r>
        <w:t xml:space="preserve"> This phenomenon is consistent with the global literature on bail: the Vera Institute of Justice has documented in comparative studies that pre-trial detention disproportionately falls on the economically disadvantaged, not because of the gravity of their alleged offenses, but because of their inability to satisfy financial conditions.</w:t>
      </w:r>
      <w:r>
        <w:rPr>
          <w:vertAlign w:val="superscript"/>
        </w:rPr>
        <w:footnoteReference w:id="27"/>
      </w:r>
    </w:p>
    <w:p w14:paraId="00000037" w14:textId="77777777" w:rsidR="00D8345E" w:rsidRDefault="00000000">
      <w:pPr>
        <w:pStyle w:val="Heading2"/>
        <w:spacing w:before="300" w:after="150"/>
      </w:pPr>
      <w:r>
        <w:rPr>
          <w:sz w:val="26"/>
          <w:szCs w:val="26"/>
        </w:rPr>
        <w:t>C. Inadequate Legal Representation</w:t>
      </w:r>
    </w:p>
    <w:p w14:paraId="00000038" w14:textId="77777777" w:rsidR="00D8345E" w:rsidRDefault="00000000">
      <w:pPr>
        <w:spacing w:after="200" w:line="360" w:lineRule="auto"/>
        <w:ind w:firstLine="720"/>
        <w:jc w:val="both"/>
      </w:pPr>
      <w:r>
        <w:t>Access to legal representation is a further critical factor. Many accused persons in Sierra Leone cannot afford to retain private legal counsel, and the Legal Aid Board—the State body responsible for providing legal aid to indigent persons—is chronically underfunded and understaffed relative to the scale of demand. The Legal Aid Board's Annual Report for 2022–2023 acknowledged significant gaps in service delivery, particularly in provincial and district areas.</w:t>
      </w:r>
      <w:r>
        <w:rPr>
          <w:vertAlign w:val="superscript"/>
        </w:rPr>
        <w:footnoteReference w:id="28"/>
      </w:r>
    </w:p>
    <w:p w14:paraId="00000039" w14:textId="77777777" w:rsidR="00D8345E" w:rsidRDefault="00000000">
      <w:pPr>
        <w:spacing w:after="200" w:line="360" w:lineRule="auto"/>
        <w:ind w:firstLine="720"/>
        <w:jc w:val="both"/>
      </w:pPr>
      <w:r>
        <w:t>The International Bar Association Human Rights Institute (IBAHRI) has assessed that access to justice in Sierra Leone is severely constrained by the shortage of legal aid, the geographic concentration of lawyers in Freetown, and the cost of legal services relative to average incomes. The consequence is that accused persons who are unable to retain counsel are less likely to secure bail, less likely to have procedural delays challenged through applications to court, and more likely to spend extended periods in pre-trial detention.</w:t>
      </w:r>
      <w:r>
        <w:rPr>
          <w:vertAlign w:val="superscript"/>
        </w:rPr>
        <w:footnoteReference w:id="29"/>
      </w:r>
    </w:p>
    <w:p w14:paraId="0000003A" w14:textId="77777777" w:rsidR="00D8345E" w:rsidRDefault="00000000">
      <w:pPr>
        <w:pStyle w:val="Heading2"/>
        <w:spacing w:before="300" w:after="150"/>
      </w:pPr>
      <w:r>
        <w:rPr>
          <w:sz w:val="26"/>
          <w:szCs w:val="26"/>
        </w:rPr>
        <w:t>D. Geographical Inaccessibility and Infrastructure Deficits</w:t>
      </w:r>
    </w:p>
    <w:p w14:paraId="0000003B" w14:textId="77777777" w:rsidR="00D8345E" w:rsidRDefault="00000000">
      <w:pPr>
        <w:spacing w:after="200" w:line="360" w:lineRule="auto"/>
        <w:ind w:firstLine="720"/>
        <w:jc w:val="both"/>
      </w:pPr>
      <w:r>
        <w:t>Sierra Leone's geography further compounds the crisis. PWSL has documented that in remote regions of the country, individuals are detained for years without trial due to the absence of lawyers, judges, and magistrates and the inability to pay exorbitant transportation costs.</w:t>
      </w:r>
      <w:r>
        <w:rPr>
          <w:vertAlign w:val="superscript"/>
        </w:rPr>
        <w:footnoteReference w:id="30"/>
      </w:r>
      <w:r>
        <w:t xml:space="preserve"> </w:t>
      </w:r>
      <w:r>
        <w:lastRenderedPageBreak/>
        <w:t>Circuit court systems, which would bring judicial officers to defendants rather than requiring defendants to be transported to courts, are under-developed. In some cases, accused persons are held in local police holding cells — designed for short-term custody — for months or years because there is no mechanism to bring them before a court in the area where they were detained.</w:t>
      </w:r>
    </w:p>
    <w:p w14:paraId="0000003C" w14:textId="77777777" w:rsidR="00D8345E" w:rsidRDefault="00000000">
      <w:pPr>
        <w:pStyle w:val="Heading2"/>
        <w:spacing w:before="300" w:after="150"/>
      </w:pPr>
      <w:r>
        <w:rPr>
          <w:sz w:val="26"/>
          <w:szCs w:val="26"/>
        </w:rPr>
        <w:t>E. The Former Legislative Framework</w:t>
      </w:r>
    </w:p>
    <w:p w14:paraId="0000003D" w14:textId="77777777" w:rsidR="00D8345E" w:rsidRDefault="00000000">
      <w:pPr>
        <w:spacing w:after="200" w:line="360" w:lineRule="auto"/>
        <w:ind w:firstLine="720"/>
        <w:jc w:val="both"/>
      </w:pPr>
      <w:r>
        <w:t>Prior to the Criminal Procedure Act 2024, Sierra Leone's criminal procedure was governed by the Criminal Procedure Act 1965—legislation that, as the Attorney General and Minister of Justice observed at the launch of the CPA 2024, had remained substantively unchanged for nearly sixty years and was wholly inadequate to address the conditions of modern criminal justice administration. The 1965 Act did not impose binding statutory time limits on the duration of pre-trial detention, did not mandate legal representation for all defendants, and provided no structured framework of non-custodial alternatives to imprisonment at the pre-trial stage. The effect was a legislative vacuum that allowed — indeed, facilitated — the prolonged incarceration of unsentenced persons.</w:t>
      </w:r>
      <w:r>
        <w:rPr>
          <w:vertAlign w:val="superscript"/>
        </w:rPr>
        <w:footnoteReference w:id="31"/>
      </w:r>
    </w:p>
    <w:p w14:paraId="0000003E" w14:textId="77777777" w:rsidR="00D8345E" w:rsidRDefault="00000000">
      <w:pPr>
        <w:pStyle w:val="Heading1"/>
      </w:pPr>
      <w:r>
        <w:t>V. FAILURE TO CLASSIFY AND SEPARATE INMATES</w:t>
      </w:r>
    </w:p>
    <w:p w14:paraId="0000003F" w14:textId="77777777" w:rsidR="00D8345E" w:rsidRDefault="00000000">
      <w:pPr>
        <w:spacing w:after="200" w:line="360" w:lineRule="auto"/>
        <w:ind w:firstLine="720"/>
        <w:jc w:val="both"/>
      </w:pPr>
      <w:r>
        <w:t>One of the most consistently documented and troubling features of Sierra Leone's correctional system is the failure to classify and separate inmates by legally required categories. International standards — embodied in the Nelson Mandela Rules, the Body of Principles, and the Luanda Guidelines — require the strict separation of at minimum three categories: untried prisoners (those in pre-trial detention awaiting trial); convicted prisoners serving sentences; and civil prisoners or those detained under administrative rather than criminal authority. The principle underlying this requirement is fundamental: a person who has not been convicted of any offense must be treated as innocent, and co-mingling with convicted prisoners inevitably undermines both the presumption of innocence and the physical safety of unsentenced detainees.</w:t>
      </w:r>
      <w:r>
        <w:rPr>
          <w:vertAlign w:val="superscript"/>
        </w:rPr>
        <w:footnoteReference w:id="32"/>
      </w:r>
    </w:p>
    <w:p w14:paraId="00000040" w14:textId="77777777" w:rsidR="00D8345E" w:rsidRDefault="00000000">
      <w:pPr>
        <w:spacing w:after="200" w:line="360" w:lineRule="auto"/>
        <w:ind w:firstLine="720"/>
        <w:jc w:val="both"/>
      </w:pPr>
      <w:r>
        <w:lastRenderedPageBreak/>
        <w:t>The Sierra Leone Correctional Services (SLCS) reports demonstrate that in practice this separation is routinely breached. Pre-trial detainees and convicted prisoners occupy the same cells and wards. Children accused of offences are detained alongside adult accused and convicted persons. Women are sometimes held in proximity to men in facilities where gender-segregated wings are inadequate. DCISL has specifically reported that the indiscriminate detention of children is a significant problem, with children experiencing both arbitrary detention and exposure to adult criminal populations.</w:t>
      </w:r>
      <w:r>
        <w:rPr>
          <w:vertAlign w:val="superscript"/>
        </w:rPr>
        <w:footnoteReference w:id="33"/>
      </w:r>
    </w:p>
    <w:p w14:paraId="00000041" w14:textId="77777777" w:rsidR="00D8345E" w:rsidRDefault="00000000">
      <w:pPr>
        <w:spacing w:after="200" w:line="360" w:lineRule="auto"/>
        <w:ind w:firstLine="720"/>
        <w:jc w:val="both"/>
      </w:pPr>
      <w:r>
        <w:t xml:space="preserve">The consequences are predictable and serious. Pre-trial detainees—who are legally innocent—are subjected to the norms, hierarchies, and violence that </w:t>
      </w:r>
      <w:proofErr w:type="spellStart"/>
      <w:r>
        <w:t>characterise</w:t>
      </w:r>
      <w:proofErr w:type="spellEnd"/>
      <w:r>
        <w:t xml:space="preserve"> prisoner culture. They are exposed to criminal networks that may </w:t>
      </w:r>
      <w:proofErr w:type="spellStart"/>
      <w:r>
        <w:t>radicalise</w:t>
      </w:r>
      <w:proofErr w:type="spellEnd"/>
      <w:r>
        <w:t xml:space="preserve"> rather than rehabilitate them. They may be extorted or physically coerced by convicted prisoners with longer experience in incarceration. They lose access to the procedural protections — including the right to communicate with legal counsel and the right to challenge detention — that are supposed to distinguish their status from that of convicted prisoners.</w:t>
      </w:r>
      <w:r>
        <w:rPr>
          <w:vertAlign w:val="superscript"/>
        </w:rPr>
        <w:footnoteReference w:id="34"/>
      </w:r>
    </w:p>
    <w:p w14:paraId="00000042" w14:textId="77777777" w:rsidR="00D8345E" w:rsidRDefault="00000000">
      <w:pPr>
        <w:spacing w:after="200" w:line="360" w:lineRule="auto"/>
        <w:ind w:firstLine="720"/>
        <w:jc w:val="both"/>
      </w:pPr>
      <w:r>
        <w:t>The SLCS has acknowledged that the classification infrastructure of Sierra Leone's correctional system is inadequate. The UNODC Handbook on Strategies to Reduce Overcrowding in Prisons identifies the failure to separate untried from convicted prisoners as both a human rights violation in itself and a driver of other pathologies—including violence, disease transmission, and the radicalization of first-time offenders—that compound the harm caused by overcrowding.</w:t>
      </w:r>
      <w:r>
        <w:rPr>
          <w:vertAlign w:val="superscript"/>
        </w:rPr>
        <w:footnoteReference w:id="35"/>
      </w:r>
      <w:r>
        <w:t xml:space="preserve"> Addressing this failure requires not only legislative reform but Physical infrastructure investment: Classification and separation cannot be achieved without adequate physical facilities and trained personnel.</w:t>
      </w:r>
    </w:p>
    <w:p w14:paraId="00000043" w14:textId="77777777" w:rsidR="00D8345E" w:rsidRDefault="00000000">
      <w:pPr>
        <w:pStyle w:val="Heading1"/>
      </w:pPr>
      <w:r>
        <w:lastRenderedPageBreak/>
        <w:t>VI. CLASSICAL LEGAL PRINCIPLES AND THE RIGHT TO LIBERTY</w:t>
      </w:r>
    </w:p>
    <w:p w14:paraId="00000044" w14:textId="77777777" w:rsidR="00D8345E" w:rsidRDefault="00000000">
      <w:pPr>
        <w:spacing w:after="200" w:line="360" w:lineRule="auto"/>
        <w:ind w:firstLine="720"/>
        <w:jc w:val="both"/>
      </w:pPr>
      <w:r>
        <w:t>The crisis of pre-trial detention in Sierra Leone is not simply a contemporary policy problem; it is a violation of legal principles that have been recognized as fundamental to the protection of individual liberty for centuries. The Western legal tradition—from which Sierra Leone's common law system derives—has consistently treated the arbitrary deprivation of liberty as among the gravest wrongs that a State can commit against an individual and has developed a series of doctrines and remedies designed to prevent it.</w:t>
      </w:r>
    </w:p>
    <w:p w14:paraId="00000045" w14:textId="77777777" w:rsidR="00D8345E" w:rsidRDefault="00000000">
      <w:pPr>
        <w:pStyle w:val="Heading2"/>
        <w:spacing w:before="300" w:after="150"/>
      </w:pPr>
      <w:r>
        <w:rPr>
          <w:sz w:val="26"/>
          <w:szCs w:val="26"/>
        </w:rPr>
        <w:t>A. Entick v Carrington (1765) and the Foundation of Legal Authority</w:t>
      </w:r>
    </w:p>
    <w:p w14:paraId="00000046" w14:textId="77777777" w:rsidR="00D8345E" w:rsidRDefault="00000000">
      <w:pPr>
        <w:spacing w:after="200" w:line="360" w:lineRule="auto"/>
        <w:ind w:firstLine="720"/>
        <w:jc w:val="both"/>
      </w:pPr>
      <w:r>
        <w:t xml:space="preserve">The foundational common law principle is stated with unambiguous clarity in </w:t>
      </w:r>
      <w:r>
        <w:rPr>
          <w:i/>
          <w:iCs/>
        </w:rPr>
        <w:t>Entick v Carrington</w:t>
      </w:r>
      <w:r>
        <w:t xml:space="preserve"> (1765), in which Lord Camden CJ held that the State has no power to deprive a subject of his liberty—or indeed to enter his premises—without clear and specific legal authority: "If it is law, it will be found in our books. If you cannot find it there, it is not law.</w:t>
      </w:r>
      <w:r>
        <w:rPr>
          <w:vertAlign w:val="superscript"/>
        </w:rPr>
        <w:footnoteReference w:id="36"/>
      </w:r>
      <w:r>
        <w:t xml:space="preserve"> The judgment established the principle that executive power is subject to law, not above it, and that any deprivation of liberty without lawful authority is a trespass and is actionable. This principle is directly applicable to the situation of accused persons in Sierra Leone who are held in pre-trial detention beyond the periods </w:t>
      </w:r>
      <w:proofErr w:type="spellStart"/>
      <w:r>
        <w:t>authorised</w:t>
      </w:r>
      <w:proofErr w:type="spellEnd"/>
      <w:r>
        <w:t xml:space="preserve"> by law or whose detention is not subject to judicial supervision. Where the legal system fails to bring accused persons before a court within a reasonable time, the detention transitions from lawful pre-trial custody to something closer to the arbitrary imprisonment that </w:t>
      </w:r>
      <w:r>
        <w:rPr>
          <w:i/>
          <w:iCs/>
        </w:rPr>
        <w:t>Entick</w:t>
      </w:r>
      <w:r>
        <w:t xml:space="preserve"> was decided to prohibit.</w:t>
      </w:r>
    </w:p>
    <w:p w14:paraId="00000047" w14:textId="77777777" w:rsidR="00D8345E" w:rsidRDefault="00000000">
      <w:pPr>
        <w:pStyle w:val="Heading2"/>
        <w:spacing w:before="300" w:after="150"/>
      </w:pPr>
      <w:r>
        <w:rPr>
          <w:sz w:val="26"/>
          <w:szCs w:val="26"/>
        </w:rPr>
        <w:t>B. Habeas Corpus and the Presumption of Innocence</w:t>
      </w:r>
    </w:p>
    <w:p w14:paraId="00000048" w14:textId="77777777" w:rsidR="00D8345E" w:rsidRDefault="00000000">
      <w:pPr>
        <w:spacing w:after="200" w:line="360" w:lineRule="auto"/>
        <w:ind w:firstLine="720"/>
        <w:jc w:val="both"/>
      </w:pPr>
      <w:r>
        <w:t xml:space="preserve">The writ of </w:t>
      </w:r>
      <w:r>
        <w:rPr>
          <w:i/>
          <w:iCs/>
        </w:rPr>
        <w:t>habeas corpus</w:t>
      </w:r>
      <w:r>
        <w:t xml:space="preserve"> — perhaps the most celebrated procedural protection in the common law — represents the practical mechanism through which the principle in </w:t>
      </w:r>
      <w:r>
        <w:rPr>
          <w:i/>
          <w:iCs/>
        </w:rPr>
        <w:t>Entick</w:t>
      </w:r>
      <w:r>
        <w:t xml:space="preserve"> is enforced. A detained person may apply to a superior court for an order requiring the detaining authority to justify the lawfulness of the detention, and the court may order release if the Detention cannot be justified. The right to </w:t>
      </w:r>
      <w:r>
        <w:rPr>
          <w:i/>
          <w:iCs/>
        </w:rPr>
        <w:t>habeas corpus</w:t>
      </w:r>
      <w:r>
        <w:t xml:space="preserve"> is guaranteed by Article 9(4) of the ICCPR and is reflected in Section 17 of Sierra Leone's 1991 Constitution.</w:t>
      </w:r>
    </w:p>
    <w:p w14:paraId="00000049" w14:textId="77777777" w:rsidR="00D8345E" w:rsidRDefault="00000000">
      <w:pPr>
        <w:spacing w:after="200" w:line="360" w:lineRule="auto"/>
        <w:ind w:firstLine="720"/>
        <w:jc w:val="both"/>
      </w:pPr>
      <w:r>
        <w:lastRenderedPageBreak/>
        <w:t xml:space="preserve">The United States Supreme Court's decision in </w:t>
      </w:r>
      <w:r>
        <w:rPr>
          <w:i/>
          <w:iCs/>
        </w:rPr>
        <w:t>Boumediene v. Bush</w:t>
      </w:r>
      <w:r>
        <w:t xml:space="preserve"> (2008), while arising in a very different factual context, provides a powerful comparative illustration of the status of </w:t>
      </w:r>
      <w:r>
        <w:rPr>
          <w:i/>
          <w:iCs/>
        </w:rPr>
        <w:t>habeas corpus</w:t>
      </w:r>
      <w:r>
        <w:t xml:space="preserve"> as a fundamental safeguard against executive detention: the Court held that the right to seek judicial review of the lawfulness of detention is a constitutional guarantee that cannot be suspended by ordinary legislative action. The underlying principle—that the State must at all times be able to justify the imprisonment of any person before an independent court—is equally applicable in Sierra Leone.</w:t>
      </w:r>
      <w:r>
        <w:rPr>
          <w:vertAlign w:val="superscript"/>
        </w:rPr>
        <w:footnoteReference w:id="37"/>
      </w:r>
    </w:p>
    <w:p w14:paraId="0000004A" w14:textId="77777777" w:rsidR="00D8345E" w:rsidRDefault="00000000">
      <w:pPr>
        <w:spacing w:after="200" w:line="360" w:lineRule="auto"/>
        <w:ind w:firstLine="720"/>
        <w:jc w:val="both"/>
      </w:pPr>
      <w:r>
        <w:t xml:space="preserve">The presumption of innocence — affirmed in Article 3 of the Universal Declaration of Human Rights (1948), Article 14(2) of the ICCPR, and Article 7(1)(b) of the African Charter — is the logical counterpart of the right to liberty. A person who has not been found guilty by a competent court must be treated as innocent, and the conditions of their detention must reflect that status. Lord Hoffmann's dictum in </w:t>
      </w:r>
      <w:r>
        <w:rPr>
          <w:i/>
          <w:iCs/>
        </w:rPr>
        <w:t xml:space="preserve">R v. Secretary of State for the Home Department, ex </w:t>
      </w:r>
      <w:proofErr w:type="spellStart"/>
      <w:r>
        <w:rPr>
          <w:i/>
          <w:iCs/>
        </w:rPr>
        <w:t>parte</w:t>
      </w:r>
      <w:proofErr w:type="spellEnd"/>
      <w:r>
        <w:rPr>
          <w:i/>
          <w:iCs/>
        </w:rPr>
        <w:t xml:space="preserve"> Simms</w:t>
      </w:r>
      <w:r>
        <w:t xml:space="preserve"> [2000]—that "fundamental rights cannot be overridden by general or ambiguous "words"—reinforces the point that the erosion of the presumption of innocence through prolonged, unsanctioned pre-trial detention cannot be justified by mere administrative convenience or resource constraints.</w:t>
      </w:r>
      <w:r>
        <w:rPr>
          <w:vertAlign w:val="superscript"/>
        </w:rPr>
        <w:footnoteReference w:id="38"/>
      </w:r>
    </w:p>
    <w:p w14:paraId="0000004B" w14:textId="77777777" w:rsidR="00D8345E" w:rsidRDefault="00000000">
      <w:pPr>
        <w:pStyle w:val="Heading2"/>
        <w:spacing w:before="300" w:after="150"/>
      </w:pPr>
      <w:r>
        <w:rPr>
          <w:sz w:val="26"/>
          <w:szCs w:val="26"/>
        </w:rPr>
        <w:t>C. Inhuman Treatment and the Minimum Standard of Dignity</w:t>
      </w:r>
    </w:p>
    <w:p w14:paraId="0000004C" w14:textId="77777777" w:rsidR="00D8345E" w:rsidRDefault="00000000">
      <w:pPr>
        <w:spacing w:after="200" w:line="360" w:lineRule="auto"/>
        <w:ind w:firstLine="720"/>
        <w:jc w:val="both"/>
      </w:pPr>
      <w:r>
        <w:t xml:space="preserve">The European Court of Human Rights, in </w:t>
      </w:r>
      <w:r>
        <w:rPr>
          <w:i/>
          <w:iCs/>
        </w:rPr>
        <w:t>Kudla v. Poland</w:t>
      </w:r>
      <w:r>
        <w:t xml:space="preserve"> (2000), established that the conditions of detention may violate Article 3 of the European Convention on Human Rights—which prohibits torture and inhuman or degrading treatment—where they attain a minimum level of severity. The Court held that the State has an obligation to ensure that a person is detained in conditions that are compatible with respect for human dignity.</w:t>
      </w:r>
      <w:r>
        <w:rPr>
          <w:vertAlign w:val="superscript"/>
        </w:rPr>
        <w:footnoteReference w:id="39"/>
      </w:r>
      <w:r>
        <w:t xml:space="preserve"> While Sierra Leone is not subject to the jurisdiction of the European Court, the principles articulated in </w:t>
      </w:r>
      <w:r>
        <w:rPr>
          <w:i/>
          <w:iCs/>
        </w:rPr>
        <w:t>Kudla</w:t>
      </w:r>
      <w:r>
        <w:t xml:space="preserve"> are reflective of general international human rights law as expressed in Articles 7 and 10 of the ICCPR is therefore applicable in Sierra Leone as a matter of customary international law and treaty obligation.</w:t>
      </w:r>
    </w:p>
    <w:p w14:paraId="0000004D" w14:textId="77777777" w:rsidR="00D8345E" w:rsidRDefault="00000000">
      <w:pPr>
        <w:spacing w:after="200" w:line="360" w:lineRule="auto"/>
        <w:ind w:firstLine="720"/>
        <w:jc w:val="both"/>
      </w:pPr>
      <w:r>
        <w:lastRenderedPageBreak/>
        <w:t>The UN Special Rapporteur on Torture has similarly affirmed that chronic severe overcrowding constitutes inhuman treatment contrary to the absolute prohibition in international law.</w:t>
      </w:r>
      <w:r>
        <w:rPr>
          <w:vertAlign w:val="superscript"/>
        </w:rPr>
        <w:footnoteReference w:id="40"/>
      </w:r>
      <w:r>
        <w:t xml:space="preserve"> Manfred Nowak and Elizabeth McArthur have further noted that the absolute prohibition of torture and cruel, inhuman, or degrading treatment extends to conditions of detention that, in their cumulative effect, fail to respect the inherent dignity of the human person—a standard that Sierra Leone's prison conditions manifestly fail to meet.</w:t>
      </w:r>
      <w:r>
        <w:rPr>
          <w:vertAlign w:val="superscript"/>
        </w:rPr>
        <w:footnoteReference w:id="41"/>
      </w:r>
    </w:p>
    <w:p w14:paraId="0000004E" w14:textId="77777777" w:rsidR="00D8345E" w:rsidRDefault="00000000">
      <w:pPr>
        <w:spacing w:after="200" w:line="360" w:lineRule="auto"/>
        <w:ind w:firstLine="720"/>
        <w:jc w:val="both"/>
      </w:pPr>
      <w:r>
        <w:t xml:space="preserve">The Inter-American Court of Human Rights has confirmed in </w:t>
      </w:r>
      <w:r>
        <w:rPr>
          <w:i/>
          <w:iCs/>
        </w:rPr>
        <w:t xml:space="preserve">Mamani </w:t>
      </w:r>
      <w:proofErr w:type="spellStart"/>
      <w:r>
        <w:rPr>
          <w:i/>
          <w:iCs/>
        </w:rPr>
        <w:t>Mamani</w:t>
      </w:r>
      <w:proofErr w:type="spellEnd"/>
      <w:r>
        <w:rPr>
          <w:i/>
          <w:iCs/>
        </w:rPr>
        <w:t xml:space="preserve"> v. Bolivia</w:t>
      </w:r>
      <w:r>
        <w:t xml:space="preserve"> (2016) that the State bears a heightened duty of care towards persons who are deprived of their liberty and are therefore particularly vulnerable to violations of their physical integrity and dignity. The Court held that the State's duty to protect the life and dignity of detained individuals is non-</w:t>
      </w:r>
      <w:proofErr w:type="spellStart"/>
      <w:r>
        <w:t>derogable</w:t>
      </w:r>
      <w:proofErr w:type="spellEnd"/>
      <w:r>
        <w:t>.</w:t>
      </w:r>
      <w:r>
        <w:rPr>
          <w:vertAlign w:val="superscript"/>
        </w:rPr>
        <w:footnoteReference w:id="42"/>
      </w:r>
      <w:r>
        <w:t xml:space="preserve"> This principle applies with equal force in the Sierra Leonean context, where the state's failure to provide adequate facilities, medical care, and classification has directly contributed to the harm experienced by detainees.</w:t>
      </w:r>
    </w:p>
    <w:p w14:paraId="0000004F" w14:textId="77777777" w:rsidR="00D8345E" w:rsidRDefault="00000000">
      <w:pPr>
        <w:pStyle w:val="Heading1"/>
      </w:pPr>
      <w:r>
        <w:t>VII. THE CRIMINAL PROCEDURE ACT 2024: A LEGISLATIVE RESPONSE</w:t>
      </w:r>
    </w:p>
    <w:p w14:paraId="00000050" w14:textId="77777777" w:rsidR="00D8345E" w:rsidRDefault="00000000">
      <w:pPr>
        <w:spacing w:after="200" w:line="360" w:lineRule="auto"/>
        <w:ind w:firstLine="720"/>
        <w:jc w:val="both"/>
      </w:pPr>
      <w:r>
        <w:t>The enactment of the Criminal Procedure Act 2024 (CPA 2024), which replaces the Criminal Procedure Act 1965, represents the most significant legislative intervention in Sierra Leone's criminal justice system in nearly six decades. The Act was passed by Parliament in July 2024 and was officially launched at a ceremony at the High Court in Freetown on 16 September 2025. The attorney general and minister of justice, Alpha Sesay, described the act as the result of a "20-year journey" of sustained advocacy and consultation.</w:t>
      </w:r>
      <w:r>
        <w:rPr>
          <w:vertAlign w:val="superscript"/>
        </w:rPr>
        <w:footnoteReference w:id="43"/>
      </w:r>
      <w:r>
        <w:rPr>
          <w:vertAlign w:val="superscript"/>
        </w:rPr>
        <w:footnoteReference w:id="44"/>
      </w:r>
    </w:p>
    <w:p w14:paraId="00000051" w14:textId="77777777" w:rsidR="00D8345E" w:rsidRDefault="00000000">
      <w:pPr>
        <w:pStyle w:val="Heading2"/>
        <w:spacing w:before="300" w:after="150"/>
      </w:pPr>
      <w:r>
        <w:rPr>
          <w:sz w:val="26"/>
          <w:szCs w:val="26"/>
        </w:rPr>
        <w:lastRenderedPageBreak/>
        <w:t>A. Time Limits on Pre-Trial Detention</w:t>
      </w:r>
    </w:p>
    <w:p w14:paraId="00000052" w14:textId="77777777" w:rsidR="00D8345E" w:rsidRDefault="00000000">
      <w:pPr>
        <w:spacing w:after="200" w:line="360" w:lineRule="auto"/>
        <w:ind w:firstLine="720"/>
        <w:jc w:val="both"/>
      </w:pPr>
      <w:r>
        <w:t>Perhaps the most significant reform introduced by the CPA 2024 is the imposition of statutory time limits on pretrial detention. The Act introduces binding time limits within which accused persons must be charged, brought before a court, committed for trial, and tried, thereby giving legislative force to the constitutional right under Section 17 of the 1991 Constitution and to Sierra Leone's obligations under Article 9(3) of the ICCPR.</w:t>
      </w:r>
      <w:r>
        <w:rPr>
          <w:vertAlign w:val="superscript"/>
        </w:rPr>
        <w:footnoteReference w:id="45"/>
      </w:r>
    </w:p>
    <w:p w14:paraId="00000053" w14:textId="77777777" w:rsidR="00D8345E" w:rsidRDefault="00000000">
      <w:pPr>
        <w:spacing w:after="200" w:line="360" w:lineRule="auto"/>
        <w:ind w:firstLine="720"/>
        <w:jc w:val="both"/>
      </w:pPr>
      <w:r>
        <w:t>The Advocates for Human Rights confirmed in a joint stakeholder report for the Universal Periodic Review of Sierra Leone in 2025 that the CPA 2024 "introduces time limits for pretrial detention, mandates legal representation for all criminal defendants, and eliminates jury trials."</w:t>
      </w:r>
      <w:r>
        <w:rPr>
          <w:vertAlign w:val="superscript"/>
        </w:rPr>
        <w:footnoteReference w:id="46"/>
      </w:r>
      <w:r>
        <w:t xml:space="preserve"> Parliament approved the elimination of jury trials in a close vote of 65 to 38, marking a particularly significant change expected to reduce the delay and cost of </w:t>
      </w:r>
      <w:proofErr w:type="spellStart"/>
      <w:r>
        <w:t>empanelling</w:t>
      </w:r>
      <w:proofErr w:type="spellEnd"/>
      <w:r>
        <w:t xml:space="preserve"> juries in a country with uneven educational attainment and civic participation.</w:t>
      </w:r>
      <w:r>
        <w:rPr>
          <w:vertAlign w:val="superscript"/>
        </w:rPr>
        <w:footnoteReference w:id="47"/>
      </w:r>
    </w:p>
    <w:p w14:paraId="00000054" w14:textId="77777777" w:rsidR="00D8345E" w:rsidRDefault="00000000">
      <w:pPr>
        <w:spacing w:after="200" w:line="360" w:lineRule="auto"/>
        <w:ind w:firstLine="720"/>
        <w:jc w:val="both"/>
      </w:pPr>
      <w:r>
        <w:t>The imposition of time limits represents a direct legislative response to the systemic failing identified throughout this paper. If effectively enforced, time limits will create a legal obligation on the part of prosecuting authorities to process cases within defined periods, failing which accused persons will be entitled to release. This transforms the constitutional guarantee from a nominal right into an enforceable legal entitlement with practical consequences for prosecutorial conduct and judicial administration.</w:t>
      </w:r>
    </w:p>
    <w:p w14:paraId="00000055" w14:textId="77777777" w:rsidR="00D8345E" w:rsidRDefault="00000000">
      <w:pPr>
        <w:pStyle w:val="Heading2"/>
        <w:spacing w:before="300" w:after="150"/>
      </w:pPr>
      <w:r>
        <w:rPr>
          <w:sz w:val="26"/>
          <w:szCs w:val="26"/>
        </w:rPr>
        <w:t>B. Mandatory Legal Representation</w:t>
      </w:r>
    </w:p>
    <w:p w14:paraId="00000056" w14:textId="77777777" w:rsidR="00D8345E" w:rsidRDefault="00000000">
      <w:pPr>
        <w:spacing w:after="200" w:line="360" w:lineRule="auto"/>
        <w:ind w:firstLine="720"/>
        <w:jc w:val="both"/>
      </w:pPr>
      <w:r>
        <w:t xml:space="preserve">The CPA 2024's requirement that legal representation be provided to all criminal defendants addresses one of the most fundamental root causes of prolonged pretrial detention: the lack of access to counsel. By mandating representation, the Act requires the state to expand the Legal Aid Board's capacity sufficiently to discharge this obligation for all accused persons who cannot afford private counsel. If properly funded and implemented, this provision will ensure that </w:t>
      </w:r>
      <w:r>
        <w:lastRenderedPageBreak/>
        <w:t>accused persons at all stages of the criminal process—including at the bail application stage — have legal assistance to challenge the conditions or duration of their pre-trial detention.</w:t>
      </w:r>
      <w:r>
        <w:rPr>
          <w:vertAlign w:val="superscript"/>
        </w:rPr>
        <w:footnoteReference w:id="48"/>
      </w:r>
    </w:p>
    <w:p w14:paraId="00000057" w14:textId="77777777" w:rsidR="00D8345E" w:rsidRDefault="00000000">
      <w:pPr>
        <w:spacing w:after="200" w:line="360" w:lineRule="auto"/>
        <w:ind w:firstLine="720"/>
        <w:jc w:val="both"/>
      </w:pPr>
      <w:r>
        <w:t>The requirement also aligns Sierra Leone's domestic law with Article 14(3)(d) of the ICCPR, which requires that legal assistance be assigned to accused persons in any case where the interests of justice so require, without payment if the accused lacks sufficient means. The Legal Aid Board will require substantial additional resources — in terms of qualified lawyers, paralegals, and operational capacity — to discharge these expanded obligations across the country and particularly in provincial areas where the gap between supply and demand for legal services is most acute.</w:t>
      </w:r>
      <w:r>
        <w:rPr>
          <w:vertAlign w:val="superscript"/>
        </w:rPr>
        <w:footnoteReference w:id="49"/>
      </w:r>
    </w:p>
    <w:p w14:paraId="00000058" w14:textId="77777777" w:rsidR="00D8345E" w:rsidRDefault="00000000">
      <w:pPr>
        <w:pStyle w:val="Heading2"/>
        <w:spacing w:before="300" w:after="150"/>
      </w:pPr>
      <w:r>
        <w:rPr>
          <w:sz w:val="26"/>
          <w:szCs w:val="26"/>
        </w:rPr>
        <w:t>C. Abolition of Jury Trials</w:t>
      </w:r>
    </w:p>
    <w:p w14:paraId="00000059" w14:textId="77777777" w:rsidR="00D8345E" w:rsidRDefault="00000000">
      <w:pPr>
        <w:spacing w:after="200" w:line="360" w:lineRule="auto"/>
        <w:ind w:firstLine="720"/>
        <w:jc w:val="both"/>
      </w:pPr>
      <w:r>
        <w:t xml:space="preserve">The abolition of jury trials, placing all trial decisions in the hands of professional judges, has both proponents and critics within Sierra Leone's legal community. Proponents argue that the absence of juries will reduce trial times, reduce the logistical burden of </w:t>
      </w:r>
      <w:proofErr w:type="spellStart"/>
      <w:r>
        <w:t>empanelling</w:t>
      </w:r>
      <w:proofErr w:type="spellEnd"/>
      <w:r>
        <w:t xml:space="preserve"> and </w:t>
      </w:r>
      <w:proofErr w:type="gramStart"/>
      <w:r>
        <w:t>managing</w:t>
      </w:r>
      <w:proofErr w:type="gramEnd"/>
      <w:r>
        <w:t xml:space="preserve"> juries, and produce more consistent and legally reasoned outcomes. Critics have argued that the removal of lay participation from the administration of criminal justice removes a safeguard against judicial bias and weakens the democratic legitimacy of criminal verdicts.</w:t>
      </w:r>
      <w:r>
        <w:rPr>
          <w:vertAlign w:val="superscript"/>
        </w:rPr>
        <w:footnoteReference w:id="50"/>
      </w:r>
    </w:p>
    <w:p w14:paraId="0000005A" w14:textId="77777777" w:rsidR="00D8345E" w:rsidRDefault="00000000">
      <w:pPr>
        <w:spacing w:after="200" w:line="360" w:lineRule="auto"/>
        <w:ind w:firstLine="720"/>
        <w:jc w:val="both"/>
      </w:pPr>
      <w:r>
        <w:t>From the perspective of pre-trial detention, the abolition of jury trials is significant insofar as it removes one of the historically cited causes of trial delay. The Chief Justice, Komba Kamanda, has commended the Act for its recognition of human rights principles and its alignment of Sierra Leone's legal processes with international standards, expressing confidence that the new Act will usher in a more just and transparent era.</w:t>
      </w:r>
      <w:r>
        <w:rPr>
          <w:vertAlign w:val="superscript"/>
        </w:rPr>
        <w:footnoteReference w:id="51"/>
      </w:r>
    </w:p>
    <w:p w14:paraId="0000005B" w14:textId="77777777" w:rsidR="00D8345E" w:rsidRDefault="00000000">
      <w:pPr>
        <w:pStyle w:val="Heading1"/>
      </w:pPr>
      <w:r>
        <w:lastRenderedPageBreak/>
        <w:t>VIII. ASSESSING NON-CUSTODIAL SENTENCING UNDER THE CPA 2024</w:t>
      </w:r>
    </w:p>
    <w:p w14:paraId="0000005C" w14:textId="77777777" w:rsidR="00D8345E" w:rsidRDefault="00000000">
      <w:pPr>
        <w:spacing w:after="200" w:line="360" w:lineRule="auto"/>
        <w:ind w:firstLine="720"/>
        <w:jc w:val="both"/>
      </w:pPr>
      <w:r>
        <w:t>A further significant dimension of the CPA 2024 is its introduction of a structured framework of non-custodial sentencing alternatives. The provisions on alternative sentences — including suspended sentences, deferred sentences, absolute and conditional discharge, community punishment orders, and fines in lieu of imprisonment — represent a fundamental shift in the philosophy of the criminal justice system, moving away from a historically punitive and carceral orientation towards a model that recognizes rehabilitation, proportionality, and community-based responses to offending as legitimate and appropriate alternatives to imprisonment.</w:t>
      </w:r>
      <w:r>
        <w:rPr>
          <w:vertAlign w:val="superscript"/>
        </w:rPr>
        <w:footnoteReference w:id="52"/>
      </w:r>
      <w:r>
        <w:rPr>
          <w:vertAlign w:val="superscript"/>
        </w:rPr>
        <w:footnoteReference w:id="53"/>
      </w:r>
    </w:p>
    <w:p w14:paraId="0000005D" w14:textId="77777777" w:rsidR="00D8345E" w:rsidRDefault="00000000">
      <w:pPr>
        <w:pStyle w:val="Heading2"/>
        <w:spacing w:before="300" w:after="150"/>
      </w:pPr>
      <w:r>
        <w:rPr>
          <w:sz w:val="26"/>
          <w:szCs w:val="26"/>
        </w:rPr>
        <w:t>A. Community Punishment Orders</w:t>
      </w:r>
    </w:p>
    <w:p w14:paraId="0000005E" w14:textId="77777777" w:rsidR="00D8345E" w:rsidRDefault="00000000">
      <w:pPr>
        <w:spacing w:after="200" w:line="360" w:lineRule="auto"/>
        <w:ind w:firstLine="720"/>
        <w:jc w:val="both"/>
      </w:pPr>
      <w:r>
        <w:t>Community Punishment Orders (CPOs)—requiring offenders to perform unpaid community service as a condition of avoiding imprisonment—are among the most internationally recognized and empirically validated non-custodial sentencing tools. The Tokyo Rules expressly contemplate the use of community service orders as a non-custodial measure, and the UN Office on Drugs and Crime's Handbook on Strategies to Reduce Overcrowding in Prisons identifies community service as one of the most effective mechanisms for reducing prison populations.</w:t>
      </w:r>
      <w:r>
        <w:rPr>
          <w:vertAlign w:val="superscript"/>
        </w:rPr>
        <w:footnoteReference w:id="54"/>
      </w:r>
      <w:r>
        <w:rPr>
          <w:vertAlign w:val="superscript"/>
        </w:rPr>
        <w:footnoteReference w:id="55"/>
      </w:r>
    </w:p>
    <w:p w14:paraId="0000005F" w14:textId="77777777" w:rsidR="00D8345E" w:rsidRDefault="00000000">
      <w:pPr>
        <w:spacing w:after="200" w:line="360" w:lineRule="auto"/>
        <w:ind w:firstLine="720"/>
        <w:jc w:val="both"/>
      </w:pPr>
      <w:r>
        <w:t xml:space="preserve">The introduction of CPOs in Sierra Leone is therefore consistent with international best practice and has the potential, if widely used by the judiciary, to significantly reduce the number of individuals imprisoned for minor and non-violent offenses. The critical question is whether judicial culture and public expectations will support non-custodial sentencing for categories of offenses that have traditionally attracted imprisonment. This requires an investment in public legal </w:t>
      </w:r>
      <w:r>
        <w:lastRenderedPageBreak/>
        <w:t>education and in judicial training to ensure that judges and magistrates understand and are comfortable exercising the new sentencing discretion.</w:t>
      </w:r>
    </w:p>
    <w:p w14:paraId="00000060" w14:textId="77777777" w:rsidR="00D8345E" w:rsidRDefault="00000000">
      <w:pPr>
        <w:pStyle w:val="Heading2"/>
        <w:spacing w:before="300" w:after="150"/>
      </w:pPr>
      <w:r>
        <w:rPr>
          <w:sz w:val="26"/>
          <w:szCs w:val="26"/>
        </w:rPr>
        <w:t>B. Suspended and Deferred Sentences</w:t>
      </w:r>
    </w:p>
    <w:p w14:paraId="00000061" w14:textId="77777777" w:rsidR="00D8345E" w:rsidRDefault="00000000">
      <w:pPr>
        <w:spacing w:after="200" w:line="360" w:lineRule="auto"/>
        <w:ind w:firstLine="720"/>
        <w:jc w:val="both"/>
      </w:pPr>
      <w:r>
        <w:t>The introduction of suspended sentences—allowing courts to impose a term of imprisonment but suspend its execution subject to conditions—and deferred sentences—postponing the date of sentencing to allow the court to assess the offender's conduct over a period—provides sentencing judges with tools that can prevent the unnecessary imprisonment of first-time offenders or persons whose offending behavior is unlikely to be deterred or corrected by incarceration.</w:t>
      </w:r>
      <w:r>
        <w:rPr>
          <w:vertAlign w:val="superscript"/>
        </w:rPr>
        <w:footnoteReference w:id="56"/>
      </w:r>
    </w:p>
    <w:p w14:paraId="00000062" w14:textId="77777777" w:rsidR="00D8345E" w:rsidRDefault="00000000">
      <w:pPr>
        <w:spacing w:after="200" w:line="360" w:lineRule="auto"/>
        <w:ind w:firstLine="720"/>
        <w:jc w:val="both"/>
      </w:pPr>
      <w:r>
        <w:t>Absolute and conditional discharge—releasing an offender without a custodial sentence, either unconditionally or subject to conditions such as non-repetition of the offense—further expands the sentencing toolkit in a way that is particularly appropriate for minor offenses and for offenders who present a low risk of re-offending. The availability of these options reduces the moral binary between full punishment by imprisonment and acquittal, creating space for proportionate and individualized responses to offending that the old sentencing framework did not provide.</w:t>
      </w:r>
    </w:p>
    <w:p w14:paraId="00000063" w14:textId="77777777" w:rsidR="00D8345E" w:rsidRDefault="00000000">
      <w:pPr>
        <w:pStyle w:val="Heading2"/>
        <w:spacing w:before="300" w:after="150"/>
      </w:pPr>
      <w:r>
        <w:rPr>
          <w:sz w:val="26"/>
          <w:szCs w:val="26"/>
        </w:rPr>
        <w:t>C. Effectiveness Contingencies</w:t>
      </w:r>
    </w:p>
    <w:p w14:paraId="00000064" w14:textId="77777777" w:rsidR="00D8345E" w:rsidRDefault="00000000">
      <w:pPr>
        <w:spacing w:after="200" w:line="360" w:lineRule="auto"/>
        <w:ind w:firstLine="720"/>
        <w:jc w:val="both"/>
      </w:pPr>
      <w:r>
        <w:t xml:space="preserve">The effectiveness of these non-custodial sentencing options as a response to the crisis of pre-trial detention depends on several contingent factors. First, it is important to note that non-custodial sentencing at the conviction stage does not directly address the crisis of </w:t>
      </w:r>
      <w:r>
        <w:rPr>
          <w:i/>
          <w:iCs/>
        </w:rPr>
        <w:t>pre-trial</w:t>
      </w:r>
      <w:r>
        <w:t xml:space="preserve"> detention, which is experienced before conviction and therefore before any sentencing options are relevant. The contribution of non-custodial sentencing to addressing overcrowding is indirect: by reducing the overall prison population of convicted individuals, it creates additional capacity that can improve conditions for pre-trial detainees.</w:t>
      </w:r>
    </w:p>
    <w:p w14:paraId="00000065" w14:textId="77777777" w:rsidR="00D8345E" w:rsidRDefault="00000000">
      <w:pPr>
        <w:spacing w:after="200" w:line="360" w:lineRule="auto"/>
        <w:ind w:firstLine="720"/>
        <w:jc w:val="both"/>
      </w:pPr>
      <w:r>
        <w:t xml:space="preserve">Second, the availability of non-custodial options creates an incentive structure that is different from a purely carceral system: accused persons who might previously have been </w:t>
      </w:r>
      <w:r>
        <w:lastRenderedPageBreak/>
        <w:t>subjected to prolonged pre-trial detention for fear that a plea or conviction would result in imprisonment may, in a system that offers genuine non-custodial alternatives, elect to resolve their cases more expeditiously. This potential is, however, contingent on accused persons having adequate legal representation to advise them on sentencing options—which returns the analysis to the critical importance of mandatory legal representation under the CPA 2024.</w:t>
      </w:r>
      <w:r>
        <w:rPr>
          <w:vertAlign w:val="superscript"/>
        </w:rPr>
        <w:footnoteReference w:id="57"/>
      </w:r>
    </w:p>
    <w:p w14:paraId="00000066" w14:textId="77777777" w:rsidR="00D8345E" w:rsidRDefault="00000000">
      <w:pPr>
        <w:pStyle w:val="Heading1"/>
      </w:pPr>
      <w:r>
        <w:t>IX. CHALLENGES TO IMPLEMENTATION</w:t>
      </w:r>
    </w:p>
    <w:p w14:paraId="00000067" w14:textId="77777777" w:rsidR="00D8345E" w:rsidRDefault="00000000">
      <w:pPr>
        <w:spacing w:after="200" w:line="360" w:lineRule="auto"/>
        <w:ind w:firstLine="720"/>
        <w:jc w:val="both"/>
      </w:pPr>
      <w:r>
        <w:t>The enactment of the CPA 2024 is a necessary but not sufficient condition for resolving the crisis of pretrial detention and prison conditions in Sierra Leone. The history of criminal justice reform in post-conflict African states is replete with examples of well-drafted legislation that has remained substantially unimplemented due to resource constraints, institutional resistance, and the absence of complementary investments in infrastructure and personnel. Sierra Leone faces all of these challenges in acute form.</w:t>
      </w:r>
    </w:p>
    <w:p w14:paraId="00000068" w14:textId="77777777" w:rsidR="00D8345E" w:rsidRDefault="00000000">
      <w:pPr>
        <w:pStyle w:val="Heading2"/>
        <w:spacing w:before="300" w:after="150"/>
      </w:pPr>
      <w:r>
        <w:rPr>
          <w:sz w:val="26"/>
          <w:szCs w:val="26"/>
        </w:rPr>
        <w:t>A. Judicial and Prosecutorial Capacity</w:t>
      </w:r>
    </w:p>
    <w:p w14:paraId="00000069" w14:textId="77777777" w:rsidR="00D8345E" w:rsidRDefault="00000000">
      <w:pPr>
        <w:spacing w:after="200" w:line="360" w:lineRule="auto"/>
        <w:ind w:firstLine="720"/>
        <w:jc w:val="both"/>
      </w:pPr>
      <w:r>
        <w:t>The enforcement of time limits on pre-trial detention requires a judiciary and a prosecution service that have the capacity to process cases within the statutory deadlines. Sierra Leone currently lacks sufficient judges, magistrates, court clerks, and prosecutors to achieve this objective without substantial additional investment. The Justice Sector Reform Strategy 2024–2030 explicitly acknowledges the need for improved case management and expedited justice delivery as one of its four strategic pillars.</w:t>
      </w:r>
      <w:r>
        <w:rPr>
          <w:vertAlign w:val="superscript"/>
        </w:rPr>
        <w:footnoteReference w:id="58"/>
      </w:r>
    </w:p>
    <w:p w14:paraId="0000006A" w14:textId="77777777" w:rsidR="00D8345E" w:rsidRDefault="00000000">
      <w:pPr>
        <w:spacing w:after="200" w:line="360" w:lineRule="auto"/>
        <w:ind w:firstLine="720"/>
        <w:jc w:val="both"/>
      </w:pPr>
      <w:r>
        <w:t>Police training is also essential. The Inspector General of Police noted at the launch of the CPA 2024 that police officers nationwide have already undergone training to familiarize themselves with the provisions of the Act, a positive indicator.</w:t>
      </w:r>
      <w:r>
        <w:rPr>
          <w:vertAlign w:val="superscript"/>
        </w:rPr>
        <w:footnoteReference w:id="59"/>
      </w:r>
      <w:r>
        <w:t xml:space="preserve"> However, training in the new procedures — including the provisions on arrest, custody, and the rights of detained persons — </w:t>
      </w:r>
      <w:r>
        <w:lastRenderedPageBreak/>
        <w:t>must be sustained, effectively monitored, and complemented by operational support systems that enable investigators and prosecutors to manage cases efficiently within the new time limits.</w:t>
      </w:r>
    </w:p>
    <w:p w14:paraId="0000006B" w14:textId="77777777" w:rsidR="00D8345E" w:rsidRDefault="00000000">
      <w:pPr>
        <w:pStyle w:val="Heading2"/>
        <w:spacing w:before="300" w:after="150"/>
      </w:pPr>
      <w:r>
        <w:rPr>
          <w:sz w:val="26"/>
          <w:szCs w:val="26"/>
        </w:rPr>
        <w:t>B. Legal Aid Capacity</w:t>
      </w:r>
    </w:p>
    <w:p w14:paraId="0000006C" w14:textId="77777777" w:rsidR="00D8345E" w:rsidRDefault="00000000">
      <w:pPr>
        <w:spacing w:after="200" w:line="360" w:lineRule="auto"/>
        <w:ind w:firstLine="720"/>
        <w:jc w:val="both"/>
      </w:pPr>
      <w:r>
        <w:t>The mandate that the Legal Aid Board provide legal representation to all criminal defendants fundamentally changes its obligations. A major expansion of the board's operational capacity—in terms of qualified lawyers, paralegals, and funding—will be required to discharge this obligation in practice. Without such expansion, the mandatory representation provision risks becoming another nominal legal guarantee without practical effect, replicating the experience of the constitutional guarantee in Section 17 of the 1991 Constitution.</w:t>
      </w:r>
      <w:r>
        <w:rPr>
          <w:vertAlign w:val="superscript"/>
        </w:rPr>
        <w:footnoteReference w:id="60"/>
      </w:r>
      <w:r>
        <w:rPr>
          <w:vertAlign w:val="superscript"/>
        </w:rPr>
        <w:footnoteReference w:id="61"/>
      </w:r>
    </w:p>
    <w:p w14:paraId="0000006D" w14:textId="77777777" w:rsidR="00D8345E" w:rsidRDefault="00000000">
      <w:pPr>
        <w:pStyle w:val="Heading2"/>
        <w:spacing w:before="300" w:after="150"/>
      </w:pPr>
      <w:r>
        <w:rPr>
          <w:sz w:val="26"/>
          <w:szCs w:val="26"/>
        </w:rPr>
        <w:t>C. Infrastructure Investment</w:t>
      </w:r>
    </w:p>
    <w:p w14:paraId="0000006E" w14:textId="77777777" w:rsidR="00D8345E" w:rsidRDefault="00000000">
      <w:pPr>
        <w:spacing w:after="200" w:line="360" w:lineRule="auto"/>
        <w:ind w:firstLine="720"/>
        <w:jc w:val="both"/>
      </w:pPr>
      <w:r>
        <w:t>Physical infrastructure remains a critical constraint. The resolution of the classification and separation crisis requires, at minimum, the construction and renovation of correctional facilities to create adequate, genuinely separate accommodation for the distinct categories of inmates required by domestic and international law. The JSCO Reform Strategy acknowledges this need, but Sierra Leone, one of the world's poorest economies, faces severely constrained fiscal resources.</w:t>
      </w:r>
      <w:r>
        <w:rPr>
          <w:vertAlign w:val="superscript"/>
        </w:rPr>
        <w:footnoteReference w:id="62"/>
      </w:r>
    </w:p>
    <w:p w14:paraId="0000006F" w14:textId="77777777" w:rsidR="00D8345E" w:rsidRDefault="00000000">
      <w:pPr>
        <w:spacing w:after="200" w:line="360" w:lineRule="auto"/>
        <w:ind w:firstLine="720"/>
        <w:jc w:val="both"/>
      </w:pPr>
      <w:r>
        <w:t>International partners — including UNODC, the UK Foreign, Commonwealth and Development Office, the EU, and bilateral donors — have historically supported reforms in Sierra Leone's justice sector. Sustained and targeted donor support for the implementation of the CPA 2024, including for legal aid expansion, infrastructure development, and judicial training, will be essential to translating the legislative vision into reality on the ground.</w:t>
      </w:r>
      <w:r>
        <w:rPr>
          <w:vertAlign w:val="superscript"/>
        </w:rPr>
        <w:footnoteReference w:id="63"/>
      </w:r>
      <w:r>
        <w:rPr>
          <w:vertAlign w:val="superscript"/>
        </w:rPr>
        <w:footnoteReference w:id="64"/>
      </w:r>
    </w:p>
    <w:p w14:paraId="00000070" w14:textId="77777777" w:rsidR="00D8345E" w:rsidRDefault="00000000">
      <w:pPr>
        <w:pStyle w:val="Heading2"/>
        <w:spacing w:before="300" w:after="150"/>
      </w:pPr>
      <w:r>
        <w:rPr>
          <w:sz w:val="26"/>
          <w:szCs w:val="26"/>
        </w:rPr>
        <w:lastRenderedPageBreak/>
        <w:t>D. Cultural and Institutional Resistance</w:t>
      </w:r>
    </w:p>
    <w:p w14:paraId="00000071" w14:textId="77777777" w:rsidR="00D8345E" w:rsidRDefault="00000000">
      <w:pPr>
        <w:spacing w:after="200" w:line="360" w:lineRule="auto"/>
        <w:ind w:firstLine="720"/>
        <w:jc w:val="both"/>
      </w:pPr>
      <w:r>
        <w:t>Beyond resource constraints, there are challenges related to institutional culture and public expectations. Judicial officers accustomed to the flexibility of the old system — including the flexibility to adjourn cases indefinitely without statutory consequence — may resist the imposition of binding time limits. The Amnesty International documentation of impunity as a significant problem in Sierra Leone's security forces suggests a broader institutional culture that does not prioritize compliance with formal legal standards.</w:t>
      </w:r>
      <w:r>
        <w:rPr>
          <w:vertAlign w:val="superscript"/>
        </w:rPr>
        <w:footnoteReference w:id="65"/>
      </w:r>
    </w:p>
    <w:p w14:paraId="00000072" w14:textId="77777777" w:rsidR="00D8345E" w:rsidRDefault="00000000">
      <w:pPr>
        <w:spacing w:after="200" w:line="360" w:lineRule="auto"/>
        <w:ind w:firstLine="720"/>
        <w:jc w:val="both"/>
      </w:pPr>
      <w:r>
        <w:t>Civil society organizations—including HRCSL, PWSL, CHRDI, and DCISL—have a critical role to play in monitoring implementation, documenting compliance failures, and holding state institutions to account. The independent monitoring function of the HRCSL, which is mandated to investigate and report on human rights conditions, including in places of detention, must be supported and its recommendations taken seriously by the government. The Amnesty International report, which documents seven months of non-accountability following the August 2022 protests, illustrates the risks of a monitoring system without effective enforcement consequences.</w:t>
      </w:r>
      <w:r>
        <w:rPr>
          <w:vertAlign w:val="superscript"/>
        </w:rPr>
        <w:footnoteReference w:id="66"/>
      </w:r>
    </w:p>
    <w:p w14:paraId="00000073" w14:textId="77777777" w:rsidR="00D8345E" w:rsidRDefault="00000000">
      <w:pPr>
        <w:pStyle w:val="Heading1"/>
      </w:pPr>
      <w:r>
        <w:t>X. CONCLUSION AND RECOMMENDATIONS</w:t>
      </w:r>
    </w:p>
    <w:p w14:paraId="00000074" w14:textId="77777777" w:rsidR="00D8345E" w:rsidRDefault="00000000">
      <w:pPr>
        <w:spacing w:after="200" w:line="360" w:lineRule="auto"/>
        <w:ind w:firstLine="720"/>
        <w:jc w:val="both"/>
      </w:pPr>
      <w:r>
        <w:t xml:space="preserve">The crisis of pre-trial detention and prison conditions in Sierra Leone is a systemic human rights emergency with deep structural roots in the country's post-colonial legal inheritance, its resource-constrained institutional environment, and the accumulated failures of six decades of inadequate criminal procedure legislation. It represents a violation not merely of aspirational international norms but of binding treaty obligations to which Sierra Leone has freely committed itself, of regional standards established by the African Commission on Human and Peoples' Rights, and of fundamental principles of the common law tradition—from the </w:t>
      </w:r>
      <w:proofErr w:type="spellStart"/>
      <w:r>
        <w:t>The</w:t>
      </w:r>
      <w:proofErr w:type="spellEnd"/>
      <w:r>
        <w:t xml:space="preserve"> </w:t>
      </w:r>
      <w:proofErr w:type="spellStart"/>
      <w:r>
        <w:t>The</w:t>
      </w:r>
      <w:proofErr w:type="spellEnd"/>
      <w:r>
        <w:t xml:space="preserve"> principle established in </w:t>
      </w:r>
      <w:r>
        <w:rPr>
          <w:i/>
          <w:iCs/>
        </w:rPr>
        <w:t>Entick v. Carrington</w:t>
      </w:r>
      <w:r>
        <w:t xml:space="preserve"> that no person may be deprived of liberty without clear legal authority and the right to </w:t>
      </w:r>
      <w:r>
        <w:rPr>
          <w:i/>
          <w:iCs/>
        </w:rPr>
        <w:t>habeas corpus</w:t>
      </w:r>
      <w:r>
        <w:t xml:space="preserve"> has been recognized as a cornerstone of constitutional governance for centuries.</w:t>
      </w:r>
    </w:p>
    <w:p w14:paraId="00000075" w14:textId="77777777" w:rsidR="00D8345E" w:rsidRDefault="00000000">
      <w:pPr>
        <w:spacing w:after="200" w:line="360" w:lineRule="auto"/>
        <w:ind w:firstLine="720"/>
        <w:jc w:val="both"/>
      </w:pPr>
      <w:r>
        <w:lastRenderedPageBreak/>
        <w:t>The Criminal Procedure Act 2024 represents a landmark and overdue legislative response to this crisis. Its provisions introducing time limits on pretrial detention, mandating legal representation for all defendants, creating a suite of non-custodial sentencing alternatives, and abolishing jury trials in favor of bench trials collectively address the most important legislative gaps that have sustained the crisis for decades. The Act's official launch in September 2025, endorsed by the judiciary, the executive, and law enforcement, provides a foundation of institutional commitment that is essential to successful implementation.</w:t>
      </w:r>
    </w:p>
    <w:p w14:paraId="00000076" w14:textId="77777777" w:rsidR="00D8345E" w:rsidRDefault="00000000">
      <w:pPr>
        <w:spacing w:after="200" w:line="360" w:lineRule="auto"/>
        <w:ind w:firstLine="720"/>
        <w:jc w:val="both"/>
      </w:pPr>
      <w:r>
        <w:t>Nevertheless, the paper's analysis demonstrates that legislation alone cannot resolve the crisis. The following recommendations are offered as a framework for complementary action:</w:t>
      </w:r>
    </w:p>
    <w:p w14:paraId="00000077" w14:textId="77777777" w:rsidR="00D8345E" w:rsidRDefault="00000000">
      <w:pPr>
        <w:spacing w:before="100" w:after="100" w:line="360" w:lineRule="auto"/>
        <w:ind w:left="720" w:hanging="360"/>
        <w:jc w:val="both"/>
      </w:pPr>
      <w:r>
        <w:t>1. The Government of Sierra Leone should urgently increase budgetary allocations to the Legal Aid Board to enable it to discharge its expanded mandate under the CPA 2024, with a particular focus on recruitment and deployment of legal aid providers in provincial and district areas;</w:t>
      </w:r>
    </w:p>
    <w:p w14:paraId="00000078" w14:textId="77777777" w:rsidR="00D8345E" w:rsidRDefault="00000000">
      <w:pPr>
        <w:spacing w:before="100" w:after="100" w:line="360" w:lineRule="auto"/>
        <w:ind w:left="720" w:hanging="360"/>
        <w:jc w:val="both"/>
      </w:pPr>
      <w:r>
        <w:t>2. The Judiciary should establish a dedicated case management system with real-time data on pre-trial detention durations, enabling the identification and expedited processing of cases approaching or exceeding statutory time limits;</w:t>
      </w:r>
    </w:p>
    <w:p w14:paraId="00000079" w14:textId="77777777" w:rsidR="00D8345E" w:rsidRDefault="00000000">
      <w:pPr>
        <w:spacing w:before="100" w:after="100" w:line="360" w:lineRule="auto"/>
        <w:ind w:left="720" w:hanging="360"/>
        <w:jc w:val="both"/>
      </w:pPr>
      <w:r>
        <w:t>3. The Sierra Leone Correctional Services should develop and implement a national classification and separation plan, with the support of international partners, to achieve full compliance with the Nelson Mandela Rules' requirements on the separation of untried and convicted prisoners;</w:t>
      </w:r>
    </w:p>
    <w:p w14:paraId="0000007A" w14:textId="77777777" w:rsidR="00D8345E" w:rsidRDefault="00000000">
      <w:pPr>
        <w:spacing w:before="100" w:after="100" w:line="360" w:lineRule="auto"/>
        <w:ind w:left="720" w:hanging="360"/>
        <w:jc w:val="both"/>
      </w:pPr>
      <w:r>
        <w:t>4. Parliament should consider the swift enactment of the Mediation Bill 2023, which would establish a mediation framework for disputes and further reduce court backlog and the demand for pre-trial detention;</w:t>
      </w:r>
    </w:p>
    <w:p w14:paraId="0000007B" w14:textId="77777777" w:rsidR="00D8345E" w:rsidRDefault="00000000">
      <w:pPr>
        <w:spacing w:before="100" w:after="100" w:line="360" w:lineRule="auto"/>
        <w:ind w:left="720" w:hanging="360"/>
        <w:jc w:val="both"/>
      </w:pPr>
      <w:r>
        <w:t>5. The Human Rights Commission of Sierra Leone should be provided with additional resources to maintain systematic, independent monitoring of conditions in all places of detention and should establish a quarterly public reporting mechanism on compliance with the CPA 2024's detention provisions;</w:t>
      </w:r>
    </w:p>
    <w:p w14:paraId="0000007C" w14:textId="77777777" w:rsidR="00D8345E" w:rsidRDefault="00000000">
      <w:pPr>
        <w:spacing w:before="100" w:after="100" w:line="360" w:lineRule="auto"/>
        <w:ind w:left="720" w:hanging="360"/>
        <w:jc w:val="both"/>
      </w:pPr>
      <w:r>
        <w:t xml:space="preserve">6. International partners should be invited to provide sustained technical assistance and financial support for the implementation of the Justice Sector Reform Strategy 2024–2030, </w:t>
      </w:r>
      <w:r>
        <w:lastRenderedPageBreak/>
        <w:t>with particular priority given to judicial infrastructure, court technology, and correctional facility renovation.</w:t>
      </w:r>
    </w:p>
    <w:p w14:paraId="0000007D" w14:textId="77777777" w:rsidR="00D8345E" w:rsidRDefault="00000000">
      <w:pPr>
        <w:spacing w:after="200" w:line="360" w:lineRule="auto"/>
        <w:ind w:firstLine="720"/>
        <w:jc w:val="both"/>
      </w:pPr>
      <w:r>
        <w:t>The right to liberty is among the most fundamental of all human rights. Sierra Leone's post-conflict constitutional order commits the state to its protection. The CPA 2024 charts a clear legislative path forward. The task now is to walk that path with sufficient political will, institutional commitment, and material investment to ensure that the law's promise is redeemed in practice.</w:t>
      </w:r>
    </w:p>
    <w:p w14:paraId="0000007E" w14:textId="77777777" w:rsidR="00D8345E" w:rsidRDefault="00000000">
      <w:r>
        <w:br w:type="page"/>
      </w:r>
    </w:p>
    <w:p w14:paraId="0000007F" w14:textId="77777777" w:rsidR="00D8345E" w:rsidRDefault="00000000">
      <w:pPr>
        <w:pStyle w:val="Heading1"/>
      </w:pPr>
      <w:r>
        <w:lastRenderedPageBreak/>
        <w:t>BIBLIOGRAPHY AND REFERENCES</w:t>
      </w:r>
    </w:p>
    <w:p w14:paraId="00000080" w14:textId="77777777" w:rsidR="00D8345E" w:rsidRDefault="00000000">
      <w:pPr>
        <w:pStyle w:val="Heading2"/>
        <w:spacing w:before="300" w:after="150"/>
      </w:pPr>
      <w:r>
        <w:rPr>
          <w:sz w:val="26"/>
          <w:szCs w:val="26"/>
        </w:rPr>
        <w:t>Primary Legal Instruments</w:t>
      </w:r>
    </w:p>
    <w:p w14:paraId="00000081" w14:textId="77777777" w:rsidR="00D8345E" w:rsidRDefault="00000000">
      <w:pPr>
        <w:spacing w:after="120" w:line="300" w:lineRule="auto"/>
        <w:ind w:left="720" w:hanging="360"/>
      </w:pPr>
      <w:r>
        <w:t>African Charter on Human and Peoples' Rights, adopted 27 June 1981, OAU Doc. CAB/LEG/67/3 rev. 5, 21 ILM 58 (1982)</w:t>
      </w:r>
    </w:p>
    <w:p w14:paraId="00000082" w14:textId="77777777" w:rsidR="00D8345E" w:rsidRDefault="00000000">
      <w:pPr>
        <w:spacing w:after="120" w:line="300" w:lineRule="auto"/>
        <w:ind w:left="720" w:hanging="360"/>
      </w:pPr>
      <w:r>
        <w:t>Constitution of Sierra Leone, Act No. 6 of 1991</w:t>
      </w:r>
    </w:p>
    <w:p w14:paraId="00000083" w14:textId="77777777" w:rsidR="00D8345E" w:rsidRDefault="00000000">
      <w:pPr>
        <w:spacing w:after="120" w:line="300" w:lineRule="auto"/>
        <w:ind w:left="720" w:hanging="360"/>
      </w:pPr>
      <w:r>
        <w:t>Criminal Procedure Act 2024 (Sierra Leone)</w:t>
      </w:r>
    </w:p>
    <w:p w14:paraId="00000084" w14:textId="77777777" w:rsidR="00D8345E" w:rsidRDefault="00000000">
      <w:pPr>
        <w:spacing w:after="120" w:line="300" w:lineRule="auto"/>
        <w:ind w:left="720" w:hanging="360"/>
      </w:pPr>
      <w:r>
        <w:t>Criminal Procedure Act 1965 (Sierra Leone)</w:t>
      </w:r>
    </w:p>
    <w:p w14:paraId="00000085" w14:textId="77777777" w:rsidR="00D8345E" w:rsidRDefault="00000000">
      <w:pPr>
        <w:spacing w:after="120" w:line="300" w:lineRule="auto"/>
        <w:ind w:left="720" w:hanging="360"/>
      </w:pPr>
      <w:r>
        <w:t>International Covenant on Civil and Political Rights, adopted 16 December 1966, UNGA Res. 2200A (XXI), 999 units, 171</w:t>
      </w:r>
    </w:p>
    <w:p w14:paraId="00000086" w14:textId="77777777" w:rsidR="00D8345E" w:rsidRDefault="00000000">
      <w:pPr>
        <w:spacing w:after="120" w:line="300" w:lineRule="auto"/>
        <w:ind w:left="720" w:hanging="360"/>
      </w:pPr>
      <w:r>
        <w:t>UN Body of Principles for the Protection of All Persons under Any Form of Detention or Imprisonment, UNGA Res. 43/173 (9 December 1988)</w:t>
      </w:r>
    </w:p>
    <w:p w14:paraId="00000087" w14:textId="77777777" w:rsidR="00D8345E" w:rsidRDefault="00000000">
      <w:pPr>
        <w:spacing w:after="120" w:line="300" w:lineRule="auto"/>
        <w:ind w:left="720" w:hanging="360"/>
      </w:pPr>
      <w:r>
        <w:t>UN Standard Minimum Rules for Non-Custodial Measures (Tokyo Rules), UNGA Res. 45/110 (14 December 1990)</w:t>
      </w:r>
    </w:p>
    <w:p w14:paraId="00000088" w14:textId="77777777" w:rsidR="00D8345E" w:rsidRDefault="00000000">
      <w:pPr>
        <w:spacing w:after="120" w:line="300" w:lineRule="auto"/>
        <w:ind w:left="720" w:hanging="360"/>
      </w:pPr>
      <w:r>
        <w:t>UN Standard Minimum Rules for the Treatment of Prisoners (Nelson Mandela Rules), UNGA Res. 70/175 (17 December 2015)</w:t>
      </w:r>
    </w:p>
    <w:p w14:paraId="00000089" w14:textId="77777777" w:rsidR="00D8345E" w:rsidRDefault="00000000">
      <w:pPr>
        <w:spacing w:after="120" w:line="300" w:lineRule="auto"/>
        <w:ind w:left="720" w:hanging="360"/>
      </w:pPr>
      <w:r>
        <w:t>Universal Declaration of Human Rights, UNGA Res. 217A (III) (10 December 1948)</w:t>
      </w:r>
    </w:p>
    <w:p w14:paraId="0000008A" w14:textId="77777777" w:rsidR="00D8345E" w:rsidRDefault="00000000">
      <w:pPr>
        <w:pStyle w:val="Heading2"/>
        <w:spacing w:before="300" w:after="150"/>
      </w:pPr>
      <w:r>
        <w:rPr>
          <w:sz w:val="26"/>
          <w:szCs w:val="26"/>
        </w:rPr>
        <w:t>Case Law</w:t>
      </w:r>
    </w:p>
    <w:p w14:paraId="0000008B" w14:textId="77777777" w:rsidR="00D8345E" w:rsidRDefault="00000000">
      <w:pPr>
        <w:spacing w:after="120" w:line="300" w:lineRule="auto"/>
        <w:ind w:left="720" w:hanging="360"/>
      </w:pPr>
      <w:r>
        <w:t>Boumediene v. Bush, 553 US 723 (2008)</w:t>
      </w:r>
    </w:p>
    <w:p w14:paraId="0000008C" w14:textId="77777777" w:rsidR="00D8345E" w:rsidRDefault="00000000">
      <w:pPr>
        <w:spacing w:after="120" w:line="300" w:lineRule="auto"/>
        <w:ind w:left="720" w:hanging="360"/>
      </w:pPr>
      <w:r>
        <w:t>Entick v Carrington (1765) 19 State Tr 1029; 2 Wils KB 275</w:t>
      </w:r>
    </w:p>
    <w:p w14:paraId="0000008D" w14:textId="77777777" w:rsidR="00D8345E" w:rsidRDefault="00000000">
      <w:pPr>
        <w:spacing w:after="120" w:line="300" w:lineRule="auto"/>
        <w:ind w:left="720" w:hanging="360"/>
      </w:pPr>
      <w:r>
        <w:t>Kudla v. Poland, App. No. 30210/96 (ECtHR, 26 October 2000)</w:t>
      </w:r>
    </w:p>
    <w:p w14:paraId="0000008E" w14:textId="77777777" w:rsidR="00D8345E" w:rsidRDefault="00000000">
      <w:pPr>
        <w:spacing w:after="120" w:line="300" w:lineRule="auto"/>
        <w:ind w:left="720" w:hanging="360"/>
      </w:pPr>
      <w:r>
        <w:t>Mamani v. Bolivia, Inter-American Court of Human Rights, Series C No. 324 (2016)</w:t>
      </w:r>
    </w:p>
    <w:p w14:paraId="0000008F" w14:textId="77777777" w:rsidR="00D8345E" w:rsidRDefault="00000000">
      <w:pPr>
        <w:spacing w:after="120" w:line="300" w:lineRule="auto"/>
        <w:ind w:left="720" w:hanging="360"/>
      </w:pPr>
      <w:r>
        <w:t xml:space="preserve">R v Secretary of State for the Home Department, ex </w:t>
      </w:r>
      <w:proofErr w:type="spellStart"/>
      <w:r>
        <w:t>parte</w:t>
      </w:r>
      <w:proofErr w:type="spellEnd"/>
      <w:r>
        <w:t xml:space="preserve"> Simms [2000] 2 AC 115</w:t>
      </w:r>
    </w:p>
    <w:p w14:paraId="00000090" w14:textId="77777777" w:rsidR="00D8345E" w:rsidRDefault="00000000">
      <w:pPr>
        <w:pStyle w:val="Heading2"/>
        <w:spacing w:before="300" w:after="150"/>
      </w:pPr>
      <w:r>
        <w:rPr>
          <w:sz w:val="26"/>
          <w:szCs w:val="26"/>
        </w:rPr>
        <w:t>Secondary Sources</w:t>
      </w:r>
    </w:p>
    <w:p w14:paraId="00000091" w14:textId="77777777" w:rsidR="00D8345E" w:rsidRDefault="00000000">
      <w:pPr>
        <w:spacing w:after="120" w:line="300" w:lineRule="auto"/>
        <w:ind w:left="720" w:hanging="360"/>
      </w:pPr>
      <w:r>
        <w:t>AdvocAid and the Vance Center, Women in Conflict with the Law in Sierra Leone (Freetown: AdvocAid, 2021)</w:t>
      </w:r>
    </w:p>
    <w:p w14:paraId="00000092" w14:textId="77777777" w:rsidR="00D8345E" w:rsidRDefault="00000000">
      <w:pPr>
        <w:spacing w:after="120" w:line="300" w:lineRule="auto"/>
        <w:ind w:left="720" w:hanging="360"/>
      </w:pPr>
      <w:r>
        <w:t>The Advocates for Human Rights, Sierra Leone Joint Stakeholder Report for the UPR (Minneapolis: TAHR, 2025)</w:t>
      </w:r>
    </w:p>
    <w:p w14:paraId="00000093" w14:textId="77777777" w:rsidR="00D8345E" w:rsidRDefault="00000000">
      <w:pPr>
        <w:spacing w:after="120" w:line="300" w:lineRule="auto"/>
        <w:ind w:left="720" w:hanging="360"/>
      </w:pPr>
      <w:r>
        <w:t>Amnesty International, Sierra Leone: Seven Months After August's Protests, No Justice Yet (London: AI, 20 March 2023)</w:t>
      </w:r>
    </w:p>
    <w:p w14:paraId="00000094" w14:textId="77777777" w:rsidR="00D8345E" w:rsidRDefault="00000000">
      <w:pPr>
        <w:spacing w:after="120" w:line="300" w:lineRule="auto"/>
        <w:ind w:left="720" w:hanging="360"/>
      </w:pPr>
      <w:r>
        <w:lastRenderedPageBreak/>
        <w:t>Campaign for Human Rights and Development International (CHRDI), Baseline Report on Detention Conditions in Sierra Leone (Freetown: CHRDI, 2023)</w:t>
      </w:r>
    </w:p>
    <w:p w14:paraId="00000095" w14:textId="77777777" w:rsidR="00D8345E" w:rsidRDefault="00000000">
      <w:pPr>
        <w:spacing w:after="120" w:line="300" w:lineRule="auto"/>
        <w:ind w:left="720" w:hanging="360"/>
      </w:pPr>
      <w:r>
        <w:t>Center for Accountability and Rule of Law (CARL), Rule of Law Assessment Sierra Leone 2022 (Freetown: CARL, 2023)</w:t>
      </w:r>
    </w:p>
    <w:p w14:paraId="00000096" w14:textId="77777777" w:rsidR="00D8345E" w:rsidRDefault="00000000">
      <w:pPr>
        <w:spacing w:after="120" w:line="300" w:lineRule="auto"/>
        <w:ind w:left="720" w:hanging="360"/>
      </w:pPr>
      <w:r>
        <w:t xml:space="preserve">Andrew Coyle, A Human Rights Approach to Prison Management: Handbook for Prison Staff (2nd </w:t>
      </w:r>
      <w:proofErr w:type="spellStart"/>
      <w:r>
        <w:t>edn</w:t>
      </w:r>
      <w:proofErr w:type="spellEnd"/>
      <w:r>
        <w:t>, London: International Centre for Prison Studies, 2009)</w:t>
      </w:r>
    </w:p>
    <w:p w14:paraId="00000097" w14:textId="77777777" w:rsidR="00D8345E" w:rsidRDefault="00000000">
      <w:pPr>
        <w:spacing w:after="120" w:line="300" w:lineRule="auto"/>
        <w:ind w:left="720" w:hanging="360"/>
      </w:pPr>
      <w:r>
        <w:t>Defense for Children International Sierra Leone (DCISL), Children in Conflict with the Law Report 2023 (Freetown: DCISL, 2023)</w:t>
      </w:r>
    </w:p>
    <w:p w14:paraId="00000098" w14:textId="77777777" w:rsidR="00D8345E" w:rsidRDefault="00000000">
      <w:pPr>
        <w:spacing w:after="120" w:line="300" w:lineRule="auto"/>
        <w:ind w:left="720" w:hanging="360"/>
      </w:pPr>
      <w:r>
        <w:t>Human Rights Commission of Sierra Leone (HRCSL), Annual Report 2022 (Freetown: HRCSL, 2023)</w:t>
      </w:r>
    </w:p>
    <w:p w14:paraId="00000099" w14:textId="77777777" w:rsidR="00D8345E" w:rsidRDefault="00000000">
      <w:pPr>
        <w:spacing w:after="120" w:line="300" w:lineRule="auto"/>
        <w:ind w:left="720" w:hanging="360"/>
      </w:pPr>
      <w:r>
        <w:t>Human Rights Watch, World Report 2023: Sierra Leone (New York: HRW, 2023)</w:t>
      </w:r>
    </w:p>
    <w:p w14:paraId="0000009A" w14:textId="77777777" w:rsidR="00D8345E" w:rsidRDefault="00000000">
      <w:pPr>
        <w:spacing w:after="120" w:line="300" w:lineRule="auto"/>
        <w:ind w:left="720" w:hanging="360"/>
      </w:pPr>
      <w:r>
        <w:t>International Bar Association Human Rights Institute (IBAHRI), Justice in the Balance: Access to Justice in Sierra Leone (London: IBAHRI, 2020)</w:t>
      </w:r>
    </w:p>
    <w:p w14:paraId="0000009B" w14:textId="77777777" w:rsidR="00D8345E" w:rsidRDefault="00000000">
      <w:pPr>
        <w:spacing w:after="120" w:line="300" w:lineRule="auto"/>
        <w:ind w:left="720" w:hanging="360"/>
      </w:pPr>
      <w:r>
        <w:t>International Society for Human Rights, "Sierra Leone: Conditions in Prison Facilities" (2024), available at https://ishr.org</w:t>
      </w:r>
    </w:p>
    <w:p w14:paraId="0000009C" w14:textId="77777777" w:rsidR="00D8345E" w:rsidRDefault="00000000">
      <w:pPr>
        <w:spacing w:after="120" w:line="300" w:lineRule="auto"/>
        <w:ind w:left="720" w:hanging="360"/>
      </w:pPr>
      <w:r>
        <w:t>Institute for Legal Research and Advocacy for Justice (ILRAJ), Promoting Justice Through Mediation: Position Paper on the Mediation Bill 2023 (Freetown: ILRAJ, June 2024)</w:t>
      </w:r>
    </w:p>
    <w:p w14:paraId="0000009D" w14:textId="77777777" w:rsidR="00D8345E" w:rsidRDefault="00000000">
      <w:pPr>
        <w:spacing w:after="120" w:line="300" w:lineRule="auto"/>
        <w:ind w:left="720" w:hanging="360"/>
      </w:pPr>
      <w:r>
        <w:t>Justice Sector Coordination Office (JSCO), Sierra Leone Justice Sector Reform Strategy 2024–2030 (Freetown: JSCO, 2024)</w:t>
      </w:r>
    </w:p>
    <w:p w14:paraId="0000009E" w14:textId="77777777" w:rsidR="00D8345E" w:rsidRDefault="00000000">
      <w:pPr>
        <w:spacing w:after="120" w:line="300" w:lineRule="auto"/>
        <w:ind w:left="720" w:hanging="360"/>
      </w:pPr>
      <w:r>
        <w:t>Lydia Winyi Kembabazi, "Reimagining Pre-Trial Justice: An Overview of Pre-Trial Detention in Sierra Leone" (Commonwealth Human Rights Initiative, 24 June 2022)</w:t>
      </w:r>
    </w:p>
    <w:p w14:paraId="0000009F" w14:textId="77777777" w:rsidR="00D8345E" w:rsidRDefault="00000000">
      <w:pPr>
        <w:spacing w:after="120" w:line="300" w:lineRule="auto"/>
        <w:ind w:left="720" w:hanging="360"/>
      </w:pPr>
      <w:r>
        <w:t>Legal Aid Board Sierra Leone, Annual Report 2022–2023 (Freetown: LAB, 2023)</w:t>
      </w:r>
    </w:p>
    <w:p w14:paraId="000000A0" w14:textId="77777777" w:rsidR="00D8345E" w:rsidRDefault="00000000">
      <w:pPr>
        <w:spacing w:after="120" w:line="300" w:lineRule="auto"/>
        <w:ind w:left="720" w:hanging="360"/>
      </w:pPr>
      <w:r>
        <w:t>Manfred Nowak and Elizabeth McArthur, The United Nations Convention Against Torture: A Commentary (Oxford: OUP, 2008)</w:t>
      </w:r>
    </w:p>
    <w:p w14:paraId="000000A1" w14:textId="77777777" w:rsidR="00D8345E" w:rsidRDefault="00000000">
      <w:pPr>
        <w:spacing w:after="120" w:line="300" w:lineRule="auto"/>
        <w:ind w:left="720" w:hanging="360"/>
      </w:pPr>
      <w:r>
        <w:t>Penal Reform International, "Pre-Trial Detention: International Standards" (London: PRI, 2016)</w:t>
      </w:r>
    </w:p>
    <w:p w14:paraId="000000A2" w14:textId="77777777" w:rsidR="00D8345E" w:rsidRDefault="00000000">
      <w:pPr>
        <w:spacing w:after="120" w:line="300" w:lineRule="auto"/>
        <w:ind w:left="720" w:hanging="360"/>
      </w:pPr>
      <w:r>
        <w:t>Prison Watch Sierra Leone (PWSL), "Our Work: Conditions in Sierra Leone Prisons" (Freetown: PWSL, 2024)</w:t>
      </w:r>
    </w:p>
    <w:p w14:paraId="000000A3" w14:textId="77777777" w:rsidR="00D8345E" w:rsidRDefault="00000000">
      <w:pPr>
        <w:spacing w:after="120" w:line="300" w:lineRule="auto"/>
        <w:ind w:left="720" w:hanging="360"/>
      </w:pPr>
      <w:r>
        <w:t>Sierra Leone Correctional Services (SLCS), Annual Statistical Report 2023 (Freetown: SLCS, 2024)</w:t>
      </w:r>
    </w:p>
    <w:p w14:paraId="000000A4" w14:textId="77777777" w:rsidR="00D8345E" w:rsidRDefault="00000000">
      <w:pPr>
        <w:spacing w:after="120" w:line="300" w:lineRule="auto"/>
        <w:ind w:left="720" w:hanging="360"/>
      </w:pPr>
      <w:r>
        <w:t>Sierra Leone Police, "A New Era for Sierra Leone's Criminal Justice System" (Press Release, 16 September 2025)</w:t>
      </w:r>
    </w:p>
    <w:p w14:paraId="000000A5" w14:textId="77777777" w:rsidR="00D8345E" w:rsidRDefault="00000000">
      <w:pPr>
        <w:spacing w:after="120" w:line="300" w:lineRule="auto"/>
        <w:ind w:left="720" w:hanging="360"/>
      </w:pPr>
      <w:r>
        <w:lastRenderedPageBreak/>
        <w:t>UN Committee on the Rights of the Child, Concluding Observations on Sierra Leone, UN Doc. CRC/C/SLE/CO/3-5 (2016)</w:t>
      </w:r>
    </w:p>
    <w:p w14:paraId="000000A6" w14:textId="77777777" w:rsidR="00D8345E" w:rsidRDefault="00000000">
      <w:pPr>
        <w:spacing w:after="120" w:line="300" w:lineRule="auto"/>
        <w:ind w:left="720" w:hanging="360"/>
      </w:pPr>
      <w:r>
        <w:t>UN Human Rights Committee, General Comment No. 35: Liberty and Security of Person, UN Doc. CCPR/C/GC/35 (16 December 2014)</w:t>
      </w:r>
    </w:p>
    <w:p w14:paraId="000000A7" w14:textId="77777777" w:rsidR="00D8345E" w:rsidRDefault="00000000">
      <w:pPr>
        <w:spacing w:after="120" w:line="300" w:lineRule="auto"/>
        <w:ind w:left="720" w:hanging="360"/>
      </w:pPr>
      <w:r>
        <w:t>UN Human Rights Council, Report of the Working Group on the Universal Periodic Review: Sierra Leone, UN Doc. A/HRC/48/17 (21 May 2021)</w:t>
      </w:r>
    </w:p>
    <w:p w14:paraId="000000A8" w14:textId="77777777" w:rsidR="00D8345E" w:rsidRDefault="00000000">
      <w:pPr>
        <w:spacing w:after="120" w:line="300" w:lineRule="auto"/>
        <w:ind w:left="720" w:hanging="360"/>
      </w:pPr>
      <w:r>
        <w:t>UN Office on Drugs and Crime (UNODC), Handbook on Strategies to Reduce Overcrowding in Prisons (Vienna: UNODC, 2013)</w:t>
      </w:r>
    </w:p>
    <w:p w14:paraId="000000A9" w14:textId="77777777" w:rsidR="00D8345E" w:rsidRDefault="00000000">
      <w:pPr>
        <w:spacing w:after="120" w:line="300" w:lineRule="auto"/>
        <w:ind w:left="720" w:hanging="360"/>
      </w:pPr>
      <w:r>
        <w:t>UN Special Rapporteur on Torture, Report to the Human Rights Council, UN Doc. A/HRC/13/39/ Add.5 (2010)</w:t>
      </w:r>
    </w:p>
    <w:p w14:paraId="000000AA" w14:textId="77777777" w:rsidR="00D8345E" w:rsidRDefault="00000000">
      <w:pPr>
        <w:spacing w:after="120" w:line="300" w:lineRule="auto"/>
        <w:ind w:left="720" w:hanging="360"/>
      </w:pPr>
      <w:r>
        <w:t>US Department of State, "2023 Country Reports on Human Rights Practices: Sierra Leone" (Washington DC: Bureau of Democracy, Human Rights, and Labor, 2024)</w:t>
      </w:r>
    </w:p>
    <w:p w14:paraId="000000AB" w14:textId="77777777" w:rsidR="00D8345E" w:rsidRDefault="00000000">
      <w:pPr>
        <w:spacing w:after="120" w:line="300" w:lineRule="auto"/>
        <w:ind w:left="720" w:hanging="360"/>
      </w:pPr>
      <w:r>
        <w:t>Vera Institute of Justice, Incarceration's Front Door: The Misuse of Jails in America (New York: Vera, 2015)</w:t>
      </w:r>
    </w:p>
    <w:p w14:paraId="000000AC" w14:textId="77777777" w:rsidR="00D8345E" w:rsidRDefault="00000000">
      <w:pPr>
        <w:spacing w:after="120" w:line="300" w:lineRule="auto"/>
        <w:ind w:left="720" w:hanging="360"/>
      </w:pPr>
      <w:r>
        <w:t>African Commission on Human and Peoples' Rights, Guidelines on the Conditions of Arrest, Police Custody and Pre-Trial Detention in Africa (Luanda Guidelines) (adopted at the 55th Ordinary Session, April–May 2014)</w:t>
      </w:r>
    </w:p>
    <w:sectPr w:rsidR="00D8345E">
      <w:headerReference w:type="default" r:id="rId7"/>
      <w:footerReference w:type="default" r:id="rId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730C5" w14:textId="77777777" w:rsidR="000D2478" w:rsidRDefault="000D2478">
      <w:r>
        <w:separator/>
      </w:r>
    </w:p>
  </w:endnote>
  <w:endnote w:type="continuationSeparator" w:id="0">
    <w:p w14:paraId="7FCC9B5F" w14:textId="77777777" w:rsidR="000D2478" w:rsidRDefault="000D2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5B5AC34-9C99-4763-AC6E-701F32E58CA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197DF8B-B4CD-40CE-A82D-7BE4F61C147C}"/>
  </w:font>
  <w:font w:name="Cambria">
    <w:panose1 w:val="02040503050406030204"/>
    <w:charset w:val="00"/>
    <w:family w:val="roman"/>
    <w:pitch w:val="variable"/>
    <w:sig w:usb0="E00006FF" w:usb1="420024FF" w:usb2="02000000" w:usb3="00000000" w:csb0="0000019F" w:csb1="00000000"/>
    <w:embedRegular r:id="rId3" w:fontKey="{4615ECB2-7E02-4AE8-A793-3DC1C8444B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7" w14:textId="22D0DCAC" w:rsidR="00D8345E" w:rsidRDefault="00000000">
    <w:pPr>
      <w:pBdr>
        <w:top w:val="single" w:sz="6" w:space="1" w:color="1F3864"/>
      </w:pBdr>
      <w:spacing w:before="200"/>
    </w:pPr>
    <w:r>
      <w:rPr>
        <w:sz w:val="20"/>
        <w:szCs w:val="20"/>
      </w:rPr>
      <w:t xml:space="preserve">Page </w:t>
    </w:r>
    <w:r>
      <w:rPr>
        <w:sz w:val="20"/>
        <w:szCs w:val="20"/>
      </w:rPr>
      <w:fldChar w:fldCharType="begin"/>
    </w:r>
    <w:r>
      <w:rPr>
        <w:sz w:val="20"/>
        <w:szCs w:val="20"/>
      </w:rPr>
      <w:instrText>PAGE</w:instrText>
    </w:r>
    <w:r>
      <w:rPr>
        <w:sz w:val="20"/>
        <w:szCs w:val="20"/>
      </w:rPr>
      <w:fldChar w:fldCharType="separate"/>
    </w:r>
    <w:r w:rsidR="00334C03">
      <w:rPr>
        <w:noProof/>
        <w:sz w:val="20"/>
        <w:szCs w:val="20"/>
      </w:rPr>
      <w:t>1</w:t>
    </w:r>
    <w:r>
      <w:rPr>
        <w:sz w:val="20"/>
        <w:szCs w:val="20"/>
      </w:rPr>
      <w:fldChar w:fldCharType="end"/>
    </w:r>
    <w:r>
      <w:rPr>
        <w:sz w:val="20"/>
        <w:szCs w:val="20"/>
      </w:rPr>
      <w:t xml:space="preserve"> | © 2026 Department of Law at </w:t>
    </w:r>
    <w:r>
      <w:t xml:space="preserve">Imatt College is an affiliate of </w:t>
    </w:r>
    <w:r>
      <w:rPr>
        <w:sz w:val="20"/>
        <w:szCs w:val="20"/>
      </w:rPr>
      <w:t>University of Sierra Leone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34EC0" w14:textId="77777777" w:rsidR="000D2478" w:rsidRDefault="000D2478">
      <w:r>
        <w:separator/>
      </w:r>
    </w:p>
  </w:footnote>
  <w:footnote w:type="continuationSeparator" w:id="0">
    <w:p w14:paraId="2C17D3F9" w14:textId="77777777" w:rsidR="000D2478" w:rsidRDefault="000D2478">
      <w:r>
        <w:continuationSeparator/>
      </w:r>
    </w:p>
  </w:footnote>
  <w:footnote w:id="1">
    <w:p w14:paraId="000000AD" w14:textId="77777777" w:rsidR="00D8345E" w:rsidRDefault="00000000">
      <w:r>
        <w:rPr>
          <w:vertAlign w:val="superscript"/>
        </w:rPr>
        <w:footnoteRef/>
      </w:r>
      <w:r>
        <w:rPr>
          <w:sz w:val="18"/>
          <w:szCs w:val="18"/>
        </w:rPr>
        <w:t>Human Rights Commission of Sierra Leone (HRCSL), Annual Report 2022 (Freetown: HRCSL, 2023), pp. 45–52.</w:t>
      </w:r>
    </w:p>
  </w:footnote>
  <w:footnote w:id="2">
    <w:p w14:paraId="000000AE" w14:textId="77777777" w:rsidR="00D8345E" w:rsidRDefault="00000000">
      <w:r>
        <w:rPr>
          <w:vertAlign w:val="superscript"/>
        </w:rPr>
        <w:footnoteRef/>
      </w:r>
      <w:r>
        <w:rPr>
          <w:sz w:val="18"/>
          <w:szCs w:val="18"/>
        </w:rPr>
        <w:t>US Department of State, "2023 Country Reports on Human Rights Practices: Sierra Leone" (Washington DC: Bureau of Democracy, Human Rights, and Labor, 2024), Section 1(c).</w:t>
      </w:r>
    </w:p>
  </w:footnote>
  <w:footnote w:id="3">
    <w:p w14:paraId="000000B4" w14:textId="77777777" w:rsidR="00D8345E" w:rsidRDefault="00000000">
      <w:r>
        <w:rPr>
          <w:vertAlign w:val="superscript"/>
        </w:rPr>
        <w:footnoteRef/>
      </w:r>
      <w:r>
        <w:rPr>
          <w:sz w:val="18"/>
          <w:szCs w:val="18"/>
        </w:rPr>
        <w:t>Ibid. The Freetown Male Correctional Center, designed for 324 inmates, held 1,820 individuals as of August 2023.</w:t>
      </w:r>
    </w:p>
  </w:footnote>
  <w:footnote w:id="4">
    <w:p w14:paraId="000000AF" w14:textId="77777777" w:rsidR="00D8345E" w:rsidRDefault="00000000">
      <w:r>
        <w:rPr>
          <w:vertAlign w:val="superscript"/>
        </w:rPr>
        <w:footnoteRef/>
      </w:r>
      <w:r>
        <w:rPr>
          <w:sz w:val="18"/>
          <w:szCs w:val="18"/>
        </w:rPr>
        <w:t>Prison Watch Sierra Leone (PWSL), "Our Work: Conditions in Sierra Leone Prisons" (Freetown: PWSL, 2024), available at https://prisonwatchsl.org/our-work/ (accessed 10 May 2026).</w:t>
      </w:r>
    </w:p>
  </w:footnote>
  <w:footnote w:id="5">
    <w:p w14:paraId="000000B5" w14:textId="77777777" w:rsidR="00D8345E" w:rsidRDefault="00000000">
      <w:r>
        <w:rPr>
          <w:vertAlign w:val="superscript"/>
        </w:rPr>
        <w:footnoteRef/>
      </w:r>
      <w:r>
        <w:rPr>
          <w:sz w:val="18"/>
          <w:szCs w:val="18"/>
        </w:rPr>
        <w:t>Campaign for Human Rights and Development International (CHRDI), Baseline Report on Detention Conditions in Sierra Leone (Freetown: CHRDI, 2023), p. 14.</w:t>
      </w:r>
    </w:p>
  </w:footnote>
  <w:footnote w:id="6">
    <w:p w14:paraId="000000B0" w14:textId="77777777" w:rsidR="00D8345E" w:rsidRDefault="00000000">
      <w:r>
        <w:rPr>
          <w:vertAlign w:val="superscript"/>
        </w:rPr>
        <w:footnoteRef/>
      </w:r>
      <w:r>
        <w:rPr>
          <w:sz w:val="18"/>
          <w:szCs w:val="18"/>
        </w:rPr>
        <w:t>International Covenant on Civil and Political Rights (ICCPR), adopted 16 December 1966, UNGA Res. 2200A (XXI), 999 UNTS 171, Articles 9 and 14. Sierra Leone acceded on 23 August 1996.</w:t>
      </w:r>
    </w:p>
  </w:footnote>
  <w:footnote w:id="7">
    <w:p w14:paraId="5AD2452C" w14:textId="77777777" w:rsidR="00334C03" w:rsidRDefault="00334C03"/>
    <w:p w14:paraId="27064106" w14:textId="77777777" w:rsidR="00000000" w:rsidRDefault="00000000"/>
  </w:footnote>
  <w:footnote w:id="8">
    <w:p w14:paraId="000000B9" w14:textId="77777777" w:rsidR="00D8345E" w:rsidRDefault="00000000">
      <w:r>
        <w:rPr>
          <w:vertAlign w:val="superscript"/>
        </w:rPr>
        <w:footnoteRef/>
      </w:r>
      <w:r>
        <w:rPr>
          <w:sz w:val="18"/>
          <w:szCs w:val="18"/>
        </w:rPr>
        <w:t>UN Human Rights Committee, General Comment No. 35: Liberty and Security of Person, UN Doc. CCPR/C/GC/35 (16 December 2014), para. 37.</w:t>
      </w:r>
    </w:p>
  </w:footnote>
  <w:footnote w:id="9">
    <w:p w14:paraId="000000B1" w14:textId="77777777" w:rsidR="00D8345E" w:rsidRDefault="00000000">
      <w:r>
        <w:rPr>
          <w:vertAlign w:val="superscript"/>
        </w:rPr>
        <w:footnoteRef/>
      </w:r>
      <w:r>
        <w:rPr>
          <w:sz w:val="18"/>
          <w:szCs w:val="18"/>
        </w:rPr>
        <w:t>UN Standard Minimum Rules for the Treatment of Prisoners (Nelson Mandela Rules), UNGA Res. 70/175 (17 December 2015), Rules 11–14 (separation of categories) and Rule 119 (pre-trial detainees).</w:t>
      </w:r>
    </w:p>
  </w:footnote>
  <w:footnote w:id="10">
    <w:p w14:paraId="000000BA" w14:textId="77777777" w:rsidR="00D8345E" w:rsidRDefault="00000000">
      <w:r>
        <w:rPr>
          <w:vertAlign w:val="superscript"/>
        </w:rPr>
        <w:footnoteRef/>
      </w:r>
      <w:r>
        <w:rPr>
          <w:sz w:val="18"/>
          <w:szCs w:val="18"/>
        </w:rPr>
        <w:t>UN Body of Principles for the Protection of All Persons under Any Form of Detention or Imprisonment, UNGA Res. 43/173 (9 December 1988), Principles 11 and 32.</w:t>
      </w:r>
    </w:p>
  </w:footnote>
  <w:footnote w:id="11">
    <w:p w14:paraId="000000BB" w14:textId="77777777" w:rsidR="00D8345E" w:rsidRDefault="00000000">
      <w:r>
        <w:rPr>
          <w:vertAlign w:val="superscript"/>
        </w:rPr>
        <w:footnoteRef/>
      </w:r>
      <w:r>
        <w:rPr>
          <w:sz w:val="18"/>
          <w:szCs w:val="18"/>
        </w:rPr>
        <w:t>UN Standard Minimum Rules for Non-Custodial Measures (Tokyo Rules), UNGA Res. 45/110 (14 December 1990), Rules 6.1 and 6.2.</w:t>
      </w:r>
    </w:p>
  </w:footnote>
  <w:footnote w:id="12">
    <w:p w14:paraId="000000BC" w14:textId="77777777" w:rsidR="00D8345E" w:rsidRDefault="00000000">
      <w:r>
        <w:rPr>
          <w:vertAlign w:val="superscript"/>
        </w:rPr>
        <w:footnoteRef/>
      </w:r>
      <w:r>
        <w:rPr>
          <w:sz w:val="18"/>
          <w:szCs w:val="18"/>
        </w:rPr>
        <w:t>African Commission on Human and Peoples' Rights, Guidelines on the Conditions of Arrest, Police Custody and Pre-Trial Detention in Africa (Luanda Guidelines), adopted at the 55th Ordinary Session, April–May 2014, Guideline 20.</w:t>
      </w:r>
    </w:p>
  </w:footnote>
  <w:footnote w:id="13">
    <w:p w14:paraId="000000B2" w14:textId="77777777" w:rsidR="00D8345E" w:rsidRDefault="00000000">
      <w:r>
        <w:rPr>
          <w:vertAlign w:val="superscript"/>
        </w:rPr>
        <w:footnoteRef/>
      </w:r>
      <w:r>
        <w:rPr>
          <w:sz w:val="18"/>
          <w:szCs w:val="18"/>
        </w:rPr>
        <w:t>Constitution of Sierra Leone, Act No. 6 of 1991, Section 17(3) (right to be brought before court within a reasonable time).</w:t>
      </w:r>
    </w:p>
  </w:footnote>
  <w:footnote w:id="14">
    <w:p w14:paraId="000000B3" w14:textId="77777777" w:rsidR="00D8345E" w:rsidRDefault="00000000">
      <w:r>
        <w:rPr>
          <w:vertAlign w:val="superscript"/>
        </w:rPr>
        <w:footnoteRef/>
      </w:r>
      <w:r>
        <w:rPr>
          <w:sz w:val="18"/>
          <w:szCs w:val="18"/>
        </w:rPr>
        <w:t>US Department of State (n 2), Section 1(c): "As of August [2023], the country's 21 prisons, designed for 2,495 inmates, held 5,561 individuals."</w:t>
      </w:r>
    </w:p>
  </w:footnote>
  <w:footnote w:id="15">
    <w:p w14:paraId="4FB48AFD" w14:textId="77777777" w:rsidR="00334C03" w:rsidRDefault="00334C03"/>
    <w:p w14:paraId="6FE709CE" w14:textId="77777777" w:rsidR="00000000" w:rsidRDefault="00000000"/>
  </w:footnote>
  <w:footnote w:id="16">
    <w:p w14:paraId="5C44FC3A" w14:textId="77777777" w:rsidR="00334C03" w:rsidRDefault="00334C03"/>
    <w:p w14:paraId="0D7014E8" w14:textId="77777777" w:rsidR="00000000" w:rsidRDefault="00000000"/>
  </w:footnote>
  <w:footnote w:id="17">
    <w:p w14:paraId="000000B8" w14:textId="77777777" w:rsidR="00D8345E" w:rsidRDefault="00000000">
      <w:r>
        <w:rPr>
          <w:vertAlign w:val="superscript"/>
        </w:rPr>
        <w:footnoteRef/>
      </w:r>
      <w:r>
        <w:rPr>
          <w:sz w:val="18"/>
          <w:szCs w:val="18"/>
        </w:rPr>
        <w:t>PWSL (n 3). Five-year pre-trial detentions have been documented particularly in the provinces where judicial infrastructure is weakest.</w:t>
      </w:r>
    </w:p>
  </w:footnote>
  <w:footnote w:id="18">
    <w:p w14:paraId="000000CC" w14:textId="77777777" w:rsidR="00D8345E" w:rsidRDefault="00000000">
      <w:r>
        <w:rPr>
          <w:vertAlign w:val="superscript"/>
        </w:rPr>
        <w:footnoteRef/>
      </w:r>
      <w:r>
        <w:rPr>
          <w:sz w:val="18"/>
          <w:szCs w:val="18"/>
        </w:rPr>
        <w:t>International Society for Human Rights, "Sierra Leone: Conditions in Prison Facilities" (2024), available at https://ishr.org (accessed 10 May 2026), p. 1.</w:t>
      </w:r>
    </w:p>
  </w:footnote>
  <w:footnote w:id="19">
    <w:p w14:paraId="5D8D219F" w14:textId="77777777" w:rsidR="00334C03" w:rsidRDefault="00334C03"/>
    <w:p w14:paraId="35D2E0BA" w14:textId="77777777" w:rsidR="00000000" w:rsidRDefault="00000000"/>
  </w:footnote>
  <w:footnote w:id="20">
    <w:p w14:paraId="000000BD" w14:textId="77777777" w:rsidR="00D8345E" w:rsidRDefault="00000000">
      <w:r>
        <w:rPr>
          <w:vertAlign w:val="superscript"/>
        </w:rPr>
        <w:footnoteRef/>
      </w:r>
      <w:r>
        <w:rPr>
          <w:sz w:val="18"/>
          <w:szCs w:val="18"/>
        </w:rPr>
        <w:t>Human Rights Watch, World Report 2023: Sierra Leone (New York: HRW, 2023), pp. 3–5.</w:t>
      </w:r>
    </w:p>
  </w:footnote>
  <w:footnote w:id="21">
    <w:p w14:paraId="000000B7" w14:textId="77777777" w:rsidR="00D8345E" w:rsidRDefault="00000000">
      <w:r>
        <w:rPr>
          <w:vertAlign w:val="superscript"/>
        </w:rPr>
        <w:footnoteRef/>
      </w:r>
      <w:r>
        <w:rPr>
          <w:sz w:val="18"/>
          <w:szCs w:val="18"/>
        </w:rPr>
        <w:t>AdvocAid and the Vance Center, Women in Conflict with the Law in Sierra Leone (Freetown: AdvocAid, 2021), p. 22 (documenting that approximately three-quarters of women in prison are in pre-trial detention).</w:t>
      </w:r>
    </w:p>
  </w:footnote>
  <w:footnote w:id="22">
    <w:p w14:paraId="000000C8" w14:textId="77777777" w:rsidR="00D8345E" w:rsidRDefault="00000000">
      <w:r>
        <w:rPr>
          <w:vertAlign w:val="superscript"/>
        </w:rPr>
        <w:footnoteRef/>
      </w:r>
      <w:r>
        <w:rPr>
          <w:sz w:val="18"/>
          <w:szCs w:val="18"/>
        </w:rPr>
        <w:t>Defense for Children International Sierra Leone (DCISL), Children in Conflict with the Law Report 2023 (Freetown: DCISL, 2023), pp. 9–12 (documenting indiscriminate detention of children as a significant problem).</w:t>
      </w:r>
    </w:p>
  </w:footnote>
  <w:footnote w:id="23">
    <w:p w14:paraId="000000CA" w14:textId="77777777" w:rsidR="00D8345E" w:rsidRDefault="00000000">
      <w:r>
        <w:rPr>
          <w:vertAlign w:val="superscript"/>
        </w:rPr>
        <w:footnoteRef/>
      </w:r>
      <w:r>
        <w:rPr>
          <w:sz w:val="18"/>
          <w:szCs w:val="18"/>
        </w:rPr>
        <w:t>Center for Accountability and Rule of Law (CARL), Rule of Law Assessment Sierra Leone 2022 (Freetown: CARL, 2023), p. 31 (examining judicial independence and court backlog).</w:t>
      </w:r>
    </w:p>
  </w:footnote>
  <w:footnote w:id="24">
    <w:p w14:paraId="000000C6" w14:textId="77777777" w:rsidR="00D8345E" w:rsidRDefault="00000000">
      <w:r>
        <w:rPr>
          <w:vertAlign w:val="superscript"/>
        </w:rPr>
        <w:footnoteRef/>
      </w:r>
      <w:r>
        <w:rPr>
          <w:sz w:val="18"/>
          <w:szCs w:val="18"/>
        </w:rPr>
        <w:t>Justice Sector Coordination Office (JSCO), Sierra Leone Justice Sector Reform Strategy 2024–2030 (Freetown: JSCO, 2024), pp. 23–26.</w:t>
      </w:r>
    </w:p>
  </w:footnote>
  <w:footnote w:id="25">
    <w:p w14:paraId="000000B6" w14:textId="77777777" w:rsidR="00D8345E" w:rsidRDefault="00000000">
      <w:r>
        <w:rPr>
          <w:vertAlign w:val="superscript"/>
        </w:rPr>
        <w:footnoteRef/>
      </w:r>
      <w:r>
        <w:rPr>
          <w:sz w:val="18"/>
          <w:szCs w:val="18"/>
        </w:rPr>
        <w:t>Lydia Winyi Kembabazi, "Reimagining Pre-Trial Justice: An Overview of Pre-Trial Detention in Sierra Leone" (Commonwealth Human Rights Initiative, 24 June 2022), available at https://humanrightsinitiative.org (accessed 10 May 2026).</w:t>
      </w:r>
    </w:p>
  </w:footnote>
  <w:footnote w:id="26">
    <w:p w14:paraId="0A4FC7D4" w14:textId="77777777" w:rsidR="00334C03" w:rsidRDefault="00334C03"/>
    <w:p w14:paraId="19C2D96A" w14:textId="77777777" w:rsidR="00000000" w:rsidRDefault="00000000"/>
  </w:footnote>
  <w:footnote w:id="27">
    <w:p w14:paraId="000000D4" w14:textId="77777777" w:rsidR="00D8345E" w:rsidRDefault="00000000">
      <w:r>
        <w:rPr>
          <w:vertAlign w:val="superscript"/>
        </w:rPr>
        <w:footnoteRef/>
      </w:r>
      <w:r>
        <w:rPr>
          <w:sz w:val="18"/>
          <w:szCs w:val="18"/>
        </w:rPr>
        <w:t>Vera Institute of Justice, Incarceration's Front Door: The Misuse of Jails in America (New York: Vera, 2015), pp. 4–10 (comparative study on pre-trial detention misuse — cited for comparative analysis).</w:t>
      </w:r>
    </w:p>
  </w:footnote>
  <w:footnote w:id="28">
    <w:p w14:paraId="000000CF" w14:textId="77777777" w:rsidR="00D8345E" w:rsidRDefault="00000000">
      <w:r>
        <w:rPr>
          <w:vertAlign w:val="superscript"/>
        </w:rPr>
        <w:footnoteRef/>
      </w:r>
      <w:r>
        <w:rPr>
          <w:sz w:val="18"/>
          <w:szCs w:val="18"/>
        </w:rPr>
        <w:t>Legal Aid Board Sierra Leone, Annual Report 2022–2023 (Freetown: LAB, 2023), pp. 6–10.</w:t>
      </w:r>
    </w:p>
  </w:footnote>
  <w:footnote w:id="29">
    <w:p w14:paraId="000000D2" w14:textId="77777777" w:rsidR="00D8345E" w:rsidRDefault="00000000">
      <w:r>
        <w:rPr>
          <w:vertAlign w:val="superscript"/>
        </w:rPr>
        <w:footnoteRef/>
      </w:r>
      <w:r>
        <w:rPr>
          <w:sz w:val="18"/>
          <w:szCs w:val="18"/>
        </w:rPr>
        <w:t>International Bar Association Human Rights Institute (IBAHRI), Justice in the Balance: Access to Justice in Sierra Leone (London: IBAHRI, 2020), pp. 22–35.</w:t>
      </w:r>
    </w:p>
  </w:footnote>
  <w:footnote w:id="30">
    <w:p w14:paraId="31B1B52E" w14:textId="77777777" w:rsidR="00334C03" w:rsidRDefault="00334C03"/>
    <w:p w14:paraId="41323299" w14:textId="77777777" w:rsidR="00000000" w:rsidRDefault="00000000"/>
  </w:footnote>
  <w:footnote w:id="31">
    <w:p w14:paraId="000000BE" w14:textId="77777777" w:rsidR="00D8345E" w:rsidRDefault="00000000">
      <w:r>
        <w:rPr>
          <w:vertAlign w:val="superscript"/>
        </w:rPr>
        <w:footnoteRef/>
      </w:r>
      <w:r>
        <w:rPr>
          <w:sz w:val="18"/>
          <w:szCs w:val="18"/>
        </w:rPr>
        <w:t>Criminal Procedure Act 2024 (Sierra Leone), Act No. [2] of 2024 (enacted July 2024, launched September 2025), ss. 1–5 (short title and purpose).</w:t>
      </w:r>
    </w:p>
  </w:footnote>
  <w:footnote w:id="32">
    <w:p w14:paraId="09808326" w14:textId="77777777" w:rsidR="00334C03" w:rsidRDefault="00334C03"/>
    <w:p w14:paraId="51D1A6BC" w14:textId="77777777" w:rsidR="00000000" w:rsidRDefault="00000000"/>
  </w:footnote>
  <w:footnote w:id="33">
    <w:p w14:paraId="22340FB0" w14:textId="77777777" w:rsidR="00334C03" w:rsidRDefault="00334C03"/>
    <w:p w14:paraId="72F66BA9" w14:textId="77777777" w:rsidR="00000000" w:rsidRDefault="00000000"/>
  </w:footnote>
  <w:footnote w:id="34">
    <w:p w14:paraId="000000D3" w14:textId="77777777" w:rsidR="00D8345E" w:rsidRDefault="00000000">
      <w:r>
        <w:rPr>
          <w:vertAlign w:val="superscript"/>
        </w:rPr>
        <w:footnoteRef/>
      </w:r>
      <w:r>
        <w:rPr>
          <w:sz w:val="18"/>
          <w:szCs w:val="18"/>
        </w:rPr>
        <w:t xml:space="preserve">Andrew Coyle, A Human Rights Approach to Prison Management: Handbook for Prison Staff (2nd </w:t>
      </w:r>
      <w:proofErr w:type="spellStart"/>
      <w:r>
        <w:rPr>
          <w:sz w:val="18"/>
          <w:szCs w:val="18"/>
        </w:rPr>
        <w:t>edn</w:t>
      </w:r>
      <w:proofErr w:type="spellEnd"/>
      <w:r>
        <w:rPr>
          <w:sz w:val="18"/>
          <w:szCs w:val="18"/>
        </w:rPr>
        <w:t>, London: International Centre for Prison Studies, 2009), pp. 55–63.</w:t>
      </w:r>
    </w:p>
  </w:footnote>
  <w:footnote w:id="35">
    <w:p w14:paraId="000000CB" w14:textId="77777777" w:rsidR="00D8345E" w:rsidRDefault="00000000">
      <w:r>
        <w:rPr>
          <w:vertAlign w:val="superscript"/>
        </w:rPr>
        <w:footnoteRef/>
      </w:r>
      <w:r>
        <w:rPr>
          <w:sz w:val="18"/>
          <w:szCs w:val="18"/>
        </w:rPr>
        <w:t>UN Office on Drugs and Crime (UNODC), Handbook on Strategies to Reduce Overcrowding in Prisons (Vienna: UNODC, 2013), pp. 44–67.</w:t>
      </w:r>
    </w:p>
  </w:footnote>
  <w:footnote w:id="36">
    <w:p w14:paraId="000000C1" w14:textId="77777777" w:rsidR="00D8345E" w:rsidRDefault="00000000">
      <w:r>
        <w:rPr>
          <w:vertAlign w:val="superscript"/>
        </w:rPr>
        <w:footnoteRef/>
      </w:r>
      <w:r>
        <w:rPr>
          <w:sz w:val="18"/>
          <w:szCs w:val="18"/>
        </w:rPr>
        <w:t>Entick v Carrington (1765) 19 State Tr 1029; 2 Wils KB 275 (establishing that the liberty of the subject cannot be curtailed without clear legal authority).</w:t>
      </w:r>
    </w:p>
  </w:footnote>
  <w:footnote w:id="37">
    <w:p w14:paraId="000000C2" w14:textId="77777777" w:rsidR="00D8345E" w:rsidRDefault="00000000">
      <w:r>
        <w:rPr>
          <w:vertAlign w:val="superscript"/>
        </w:rPr>
        <w:footnoteRef/>
      </w:r>
      <w:r>
        <w:rPr>
          <w:sz w:val="18"/>
          <w:szCs w:val="18"/>
        </w:rPr>
        <w:t>Boumediene v. Bush, 553 US 723 (2008) (Supreme Court of the United States) (affirming that habeas corpus is a fundamental safeguard against unlawful detention; cited for comparative purposes).</w:t>
      </w:r>
    </w:p>
  </w:footnote>
  <w:footnote w:id="38">
    <w:p w14:paraId="000000C3" w14:textId="77777777" w:rsidR="00D8345E" w:rsidRDefault="00000000">
      <w:r>
        <w:rPr>
          <w:vertAlign w:val="superscript"/>
        </w:rPr>
        <w:footnoteRef/>
      </w:r>
      <w:r>
        <w:rPr>
          <w:sz w:val="18"/>
          <w:szCs w:val="18"/>
        </w:rPr>
        <w:t xml:space="preserve">R v Secretary of State for the Home Department, ex </w:t>
      </w:r>
      <w:proofErr w:type="spellStart"/>
      <w:r>
        <w:rPr>
          <w:sz w:val="18"/>
          <w:szCs w:val="18"/>
        </w:rPr>
        <w:t>parte</w:t>
      </w:r>
      <w:proofErr w:type="spellEnd"/>
      <w:r>
        <w:rPr>
          <w:sz w:val="18"/>
          <w:szCs w:val="18"/>
        </w:rPr>
        <w:t xml:space="preserve"> Simms [2000] 2 AC 115 (Lord Hoffmann's dictum that fundamental rights cannot be overridden by general words).</w:t>
      </w:r>
    </w:p>
  </w:footnote>
  <w:footnote w:id="39">
    <w:p w14:paraId="000000C4" w14:textId="77777777" w:rsidR="00D8345E" w:rsidRDefault="00000000">
      <w:r>
        <w:rPr>
          <w:vertAlign w:val="superscript"/>
        </w:rPr>
        <w:footnoteRef/>
      </w:r>
      <w:r>
        <w:rPr>
          <w:sz w:val="18"/>
          <w:szCs w:val="18"/>
        </w:rPr>
        <w:t>Kudla v Poland App. No. 30210/96 (ECtHR, 26 October 2000) (establishing that detention conditions may violate Article 3 of the European Convention on Human Rights where they attain a minimum level of severity).</w:t>
      </w:r>
    </w:p>
  </w:footnote>
  <w:footnote w:id="40">
    <w:p w14:paraId="000000CE" w14:textId="77777777" w:rsidR="00D8345E" w:rsidRDefault="00000000">
      <w:r>
        <w:rPr>
          <w:vertAlign w:val="superscript"/>
        </w:rPr>
        <w:footnoteRef/>
      </w:r>
      <w:r>
        <w:rPr>
          <w:sz w:val="18"/>
          <w:szCs w:val="18"/>
        </w:rPr>
        <w:t>UN Special Rapporteur on Torture, Report to the Human Rights Council, UN Doc. A/HRC/13/39/Add.5 (2010), para. 56 (noting that chronic severe overcrowding constitutes inhuman treatment).</w:t>
      </w:r>
    </w:p>
  </w:footnote>
  <w:footnote w:id="41">
    <w:p w14:paraId="000000CD" w14:textId="77777777" w:rsidR="00D8345E" w:rsidRDefault="00000000">
      <w:r>
        <w:rPr>
          <w:vertAlign w:val="superscript"/>
        </w:rPr>
        <w:footnoteRef/>
      </w:r>
      <w:r>
        <w:rPr>
          <w:sz w:val="18"/>
          <w:szCs w:val="18"/>
        </w:rPr>
        <w:t>Manfred Nowak and Elizabeth McArthur, The United Nations Convention Against Torture: A Commentary (Oxford: OUP, 2008), pp. 187–189 (on the absolute prohibition of torture and ill-treatment in detention).</w:t>
      </w:r>
    </w:p>
  </w:footnote>
  <w:footnote w:id="42">
    <w:p w14:paraId="000000C5" w14:textId="77777777" w:rsidR="00D8345E" w:rsidRDefault="00000000">
      <w:r>
        <w:rPr>
          <w:vertAlign w:val="superscript"/>
        </w:rPr>
        <w:footnoteRef/>
      </w:r>
      <w:r>
        <w:rPr>
          <w:sz w:val="18"/>
          <w:szCs w:val="18"/>
        </w:rPr>
        <w:t>Mamani v. Bolivia, Inter-American Court of Human Rights, Series C No. 324 (2016), para. 198 (on the State's duty to protect life and dignity in detention).</w:t>
      </w:r>
    </w:p>
  </w:footnote>
  <w:footnote w:id="43">
    <w:p w14:paraId="424AA655" w14:textId="77777777" w:rsidR="00334C03" w:rsidRDefault="00334C03"/>
    <w:p w14:paraId="2F5BDF0C" w14:textId="77777777" w:rsidR="00000000" w:rsidRDefault="00000000"/>
  </w:footnote>
  <w:footnote w:id="44">
    <w:p w14:paraId="000000D0" w14:textId="77777777" w:rsidR="00D8345E" w:rsidRDefault="00000000">
      <w:r>
        <w:rPr>
          <w:vertAlign w:val="superscript"/>
        </w:rPr>
        <w:footnoteRef/>
      </w:r>
      <w:r>
        <w:rPr>
          <w:sz w:val="18"/>
          <w:szCs w:val="18"/>
        </w:rPr>
        <w:t>Sierra Leone Police (SLP) issued a press release titled "A New Era for Sierra Leone's Criminal Justice System" on 16 September 2025, available at http://www.police.gov.sl (accessed 10 May 2026).</w:t>
      </w:r>
    </w:p>
  </w:footnote>
  <w:footnote w:id="45">
    <w:p w14:paraId="000000BF" w14:textId="77777777" w:rsidR="00D8345E" w:rsidRDefault="00000000">
      <w:r>
        <w:rPr>
          <w:vertAlign w:val="superscript"/>
        </w:rPr>
        <w:footnoteRef/>
      </w:r>
      <w:r>
        <w:rPr>
          <w:sz w:val="18"/>
          <w:szCs w:val="18"/>
        </w:rPr>
        <w:t>Ibid., ss. 120–135 (pre-trial detention time limits) and ss. 195–215 (alternative sentencing).</w:t>
      </w:r>
    </w:p>
  </w:footnote>
  <w:footnote w:id="46">
    <w:p w14:paraId="000000C0" w14:textId="77777777" w:rsidR="00D8345E" w:rsidRDefault="00000000">
      <w:r>
        <w:rPr>
          <w:vertAlign w:val="superscript"/>
        </w:rPr>
        <w:footnoteRef/>
      </w:r>
      <w:r>
        <w:rPr>
          <w:sz w:val="18"/>
          <w:szCs w:val="18"/>
        </w:rPr>
        <w:t>The Advocates for Human Rights, Sierra Leone Joint Stakeholder Report for the UPR (Minneapolis: TAHR, 2025), p. 11, notes that the CPA 2024 "introduces time limits for pretrial detention, mandates legal representation for all criminal defendants, and eliminates jury trials."</w:t>
      </w:r>
    </w:p>
  </w:footnote>
  <w:footnote w:id="47">
    <w:p w14:paraId="000000D5" w14:textId="77777777" w:rsidR="00D8345E" w:rsidRDefault="00000000">
      <w:r>
        <w:rPr>
          <w:vertAlign w:val="superscript"/>
        </w:rPr>
        <w:footnoteRef/>
      </w:r>
      <w:proofErr w:type="spellStart"/>
      <w:r>
        <w:rPr>
          <w:sz w:val="18"/>
          <w:szCs w:val="18"/>
        </w:rPr>
        <w:t>Sierraloaded</w:t>
      </w:r>
      <w:proofErr w:type="spellEnd"/>
      <w:r>
        <w:rPr>
          <w:sz w:val="18"/>
          <w:szCs w:val="18"/>
        </w:rPr>
        <w:t>, "Parliament Passes Criminal Procedure Act 2024 Removing Jury System" (5 July 2024), available at https://sierraloaded.sl (accessed 10 May 2026).</w:t>
      </w:r>
    </w:p>
  </w:footnote>
  <w:footnote w:id="48">
    <w:p w14:paraId="44DBEB16" w14:textId="77777777" w:rsidR="00334C03" w:rsidRDefault="00334C03"/>
    <w:p w14:paraId="52FE3A94" w14:textId="77777777" w:rsidR="00000000" w:rsidRDefault="00000000"/>
  </w:footnote>
  <w:footnote w:id="49">
    <w:p w14:paraId="43D68D86" w14:textId="77777777" w:rsidR="00334C03" w:rsidRDefault="00334C03"/>
    <w:p w14:paraId="7E1A2FEE" w14:textId="77777777" w:rsidR="00000000" w:rsidRDefault="00000000"/>
  </w:footnote>
  <w:footnote w:id="50">
    <w:p w14:paraId="1900220D" w14:textId="77777777" w:rsidR="00334C03" w:rsidRDefault="00334C03"/>
    <w:p w14:paraId="4DADBA71" w14:textId="77777777" w:rsidR="00000000" w:rsidRDefault="00000000"/>
  </w:footnote>
  <w:footnote w:id="51">
    <w:p w14:paraId="3527146E" w14:textId="77777777" w:rsidR="00334C03" w:rsidRDefault="00334C03"/>
    <w:p w14:paraId="1CD659FE" w14:textId="77777777" w:rsidR="00000000" w:rsidRDefault="00000000"/>
  </w:footnote>
  <w:footnote w:id="52">
    <w:p w14:paraId="37479348" w14:textId="77777777" w:rsidR="00334C03" w:rsidRDefault="00334C03"/>
    <w:p w14:paraId="6647300D" w14:textId="77777777" w:rsidR="00000000" w:rsidRDefault="00000000"/>
  </w:footnote>
  <w:footnote w:id="53">
    <w:p w14:paraId="4FEA0A65" w14:textId="77777777" w:rsidR="00334C03" w:rsidRDefault="00334C03"/>
    <w:p w14:paraId="540B4733" w14:textId="77777777" w:rsidR="00000000" w:rsidRDefault="00000000"/>
  </w:footnote>
  <w:footnote w:id="54">
    <w:p w14:paraId="609DAB57" w14:textId="77777777" w:rsidR="00334C03" w:rsidRDefault="00334C03"/>
    <w:p w14:paraId="4FB75F9F" w14:textId="77777777" w:rsidR="00000000" w:rsidRDefault="00000000"/>
  </w:footnote>
  <w:footnote w:id="55">
    <w:p w14:paraId="1BC322F7" w14:textId="77777777" w:rsidR="00334C03" w:rsidRDefault="00334C03"/>
    <w:p w14:paraId="48DC2669" w14:textId="77777777" w:rsidR="00000000" w:rsidRDefault="00000000"/>
  </w:footnote>
  <w:footnote w:id="56">
    <w:p w14:paraId="282128F6" w14:textId="77777777" w:rsidR="00334C03" w:rsidRDefault="00334C03"/>
    <w:p w14:paraId="40BA6735" w14:textId="77777777" w:rsidR="00000000" w:rsidRDefault="00000000"/>
  </w:footnote>
  <w:footnote w:id="57">
    <w:p w14:paraId="000000C9" w14:textId="77777777" w:rsidR="00D8345E" w:rsidRDefault="00000000">
      <w:r>
        <w:rPr>
          <w:vertAlign w:val="superscript"/>
        </w:rPr>
        <w:footnoteRef/>
      </w:r>
      <w:r>
        <w:rPr>
          <w:sz w:val="18"/>
          <w:szCs w:val="18"/>
        </w:rPr>
        <w:t>Institute for Legal Research and Advocacy for Justice (ILRAJ), Promoting Justice Through Mediation: Position Paper on the Mediation Bill 2023 (Freetown: ILRAJ, June 2024), p. 2.</w:t>
      </w:r>
    </w:p>
  </w:footnote>
  <w:footnote w:id="58">
    <w:p w14:paraId="1B2D26EF" w14:textId="77777777" w:rsidR="00334C03" w:rsidRDefault="00334C03"/>
    <w:p w14:paraId="4ED5E308" w14:textId="77777777" w:rsidR="00000000" w:rsidRDefault="00000000"/>
  </w:footnote>
  <w:footnote w:id="59">
    <w:p w14:paraId="2E3B4FD4" w14:textId="77777777" w:rsidR="00334C03" w:rsidRDefault="00334C03"/>
    <w:p w14:paraId="7E73883D" w14:textId="77777777" w:rsidR="00000000" w:rsidRDefault="00000000"/>
  </w:footnote>
  <w:footnote w:id="60">
    <w:p w14:paraId="347249EA" w14:textId="77777777" w:rsidR="00334C03" w:rsidRDefault="00334C03"/>
    <w:p w14:paraId="313E804D" w14:textId="77777777" w:rsidR="00000000" w:rsidRDefault="00000000"/>
  </w:footnote>
  <w:footnote w:id="61">
    <w:p w14:paraId="000000D1" w14:textId="77777777" w:rsidR="00D8345E" w:rsidRDefault="00000000">
      <w:r>
        <w:rPr>
          <w:vertAlign w:val="superscript"/>
        </w:rPr>
        <w:footnoteRef/>
      </w:r>
      <w:r>
        <w:rPr>
          <w:sz w:val="18"/>
          <w:szCs w:val="18"/>
        </w:rPr>
        <w:t>Human Rights Council, Report of the Working Group on the Universal Periodic Review: Sierra Leone, UN Doc. A/HRC/48/17 (21 May 2021), para. 143.76 (recommendations on detention reform).</w:t>
      </w:r>
    </w:p>
  </w:footnote>
  <w:footnote w:id="62">
    <w:p w14:paraId="1F8A5DF1" w14:textId="77777777" w:rsidR="00334C03" w:rsidRDefault="00334C03"/>
    <w:p w14:paraId="5DB1923D" w14:textId="77777777" w:rsidR="00000000" w:rsidRDefault="00000000"/>
  </w:footnote>
  <w:footnote w:id="63">
    <w:p w14:paraId="1A42A86A" w14:textId="77777777" w:rsidR="00334C03" w:rsidRDefault="00334C03"/>
    <w:p w14:paraId="0044048F" w14:textId="77777777" w:rsidR="00000000" w:rsidRDefault="00000000"/>
  </w:footnote>
  <w:footnote w:id="64">
    <w:p w14:paraId="0A43B763" w14:textId="77777777" w:rsidR="00334C03" w:rsidRDefault="00334C03"/>
    <w:p w14:paraId="4C6F7F9F" w14:textId="77777777" w:rsidR="00000000" w:rsidRDefault="00000000"/>
  </w:footnote>
  <w:footnote w:id="65">
    <w:p w14:paraId="000000C7" w14:textId="77777777" w:rsidR="00D8345E" w:rsidRDefault="00000000">
      <w:r>
        <w:rPr>
          <w:vertAlign w:val="superscript"/>
        </w:rPr>
        <w:footnoteRef/>
      </w:r>
      <w:r>
        <w:rPr>
          <w:sz w:val="18"/>
          <w:szCs w:val="18"/>
        </w:rPr>
        <w:t>Amnesty International, Sierra Leone: Seven Months After August's Protests, No Justice Yet (London: AI, 20 March 2023).</w:t>
      </w:r>
    </w:p>
  </w:footnote>
  <w:footnote w:id="66">
    <w:p w14:paraId="62DF1260" w14:textId="77777777" w:rsidR="00334C03" w:rsidRDefault="00334C03"/>
    <w:p w14:paraId="7E0B08A8" w14:textId="77777777" w:rsidR="00000000" w:rsidRDefault="000000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6" w14:textId="77777777" w:rsidR="00D8345E" w:rsidRDefault="00000000">
    <w:pPr>
      <w:pBdr>
        <w:bottom w:val="single" w:sz="6" w:space="1" w:color="1F3864"/>
      </w:pBdr>
      <w:spacing w:after="200"/>
    </w:pPr>
    <w:r>
      <w:rPr>
        <w:i/>
        <w:iCs/>
        <w:sz w:val="20"/>
        <w:szCs w:val="20"/>
      </w:rPr>
      <w:t>The Crisis of Pre-Trial Detention and Prison Conditions in Sierra Leone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45E"/>
    <w:rsid w:val="000D2478"/>
    <w:rsid w:val="00334C03"/>
    <w:rsid w:val="00412960"/>
    <w:rsid w:val="00907FD5"/>
    <w:rsid w:val="00BD1734"/>
    <w:rsid w:val="00CE3C37"/>
    <w:rsid w:val="00D83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50390"/>
  <w15:docId w15:val="{0407C555-5C49-4ACF-865A-948A77463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400" w:after="200"/>
      <w:outlineLvl w:val="0"/>
    </w:pPr>
    <w:rPr>
      <w:b/>
      <w:bCs/>
      <w:color w:val="1F3864"/>
      <w:sz w:val="28"/>
      <w:szCs w:val="28"/>
    </w:rPr>
  </w:style>
  <w:style w:type="paragraph" w:styleId="Heading2">
    <w:name w:val="heading 2"/>
    <w:basedOn w:val="Normal"/>
    <w:next w:val="Normal"/>
    <w:uiPriority w:val="9"/>
    <w:unhideWhenUsed/>
    <w:qFormat/>
    <w:pPr>
      <w:keepNext/>
      <w:pBdr>
        <w:top w:val="nil"/>
        <w:left w:val="nil"/>
        <w:bottom w:val="nil"/>
        <w:right w:val="nil"/>
        <w:between w:val="nil"/>
      </w:pBdr>
      <w:spacing w:before="240" w:after="120"/>
      <w:outlineLvl w:val="1"/>
    </w:pPr>
    <w:rPr>
      <w:b/>
      <w:bCs/>
      <w:color w:val="2E4057"/>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UffuQ8hLBjiSpF1t7sXdMAdGig==">CgMxLjA4AHIhMWNPWHhsdXM3N0ZraWo0VEFaUVMtNEpVUXVuckJvUm9S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7266</Words>
  <Characters>41418</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KARGBO</dc:creator>
  <cp:lastModifiedBy>Jonathan Kargbo</cp:lastModifiedBy>
  <cp:revision>2</cp:revision>
  <dcterms:created xsi:type="dcterms:W3CDTF">2026-06-16T09:42:00Z</dcterms:created>
  <dcterms:modified xsi:type="dcterms:W3CDTF">2026-06-16T09:42:00Z</dcterms:modified>
</cp:coreProperties>
</file>