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F25C" w14:textId="727D8BDB" w:rsidR="007D7B42" w:rsidRPr="00D245BD" w:rsidRDefault="007D7B42" w:rsidP="001F2FF8">
      <w:pPr>
        <w:spacing w:after="0" w:line="360" w:lineRule="auto"/>
        <w:jc w:val="center"/>
        <w:rPr>
          <w:rFonts w:ascii="Times New Roman" w:hAnsi="Times New Roman" w:cs="Times New Roman"/>
          <w:b/>
          <w:bCs/>
        </w:rPr>
      </w:pPr>
      <w:r w:rsidRPr="00D245BD">
        <w:rPr>
          <w:rFonts w:ascii="Times New Roman" w:hAnsi="Times New Roman" w:cs="Times New Roman"/>
          <w:b/>
          <w:bCs/>
        </w:rPr>
        <w:t>Interactive Impact of Health Expenditure and Institutional Quality on Life Expectancy in Sub-Saharan Africa.</w:t>
      </w:r>
    </w:p>
    <w:p w14:paraId="556B369C" w14:textId="77777777" w:rsidR="00376410" w:rsidRPr="00D245BD" w:rsidRDefault="00376410" w:rsidP="001F2FF8">
      <w:pPr>
        <w:spacing w:after="0" w:line="360" w:lineRule="auto"/>
        <w:jc w:val="center"/>
        <w:rPr>
          <w:rFonts w:ascii="Times New Roman" w:hAnsi="Times New Roman" w:cs="Times New Roman"/>
          <w:b/>
          <w:bCs/>
        </w:rPr>
      </w:pPr>
    </w:p>
    <w:p w14:paraId="51AA24DB" w14:textId="3A82951D" w:rsidR="00376410" w:rsidRPr="00D245BD" w:rsidRDefault="00376410" w:rsidP="001F2FF8">
      <w:pPr>
        <w:spacing w:after="0" w:line="360" w:lineRule="auto"/>
        <w:jc w:val="center"/>
        <w:rPr>
          <w:rFonts w:ascii="Times New Roman" w:hAnsi="Times New Roman" w:cs="Times New Roman"/>
          <w:bCs/>
        </w:rPr>
      </w:pPr>
      <w:proofErr w:type="spellStart"/>
      <w:r w:rsidRPr="00D245BD">
        <w:rPr>
          <w:rFonts w:ascii="Times New Roman" w:hAnsi="Times New Roman" w:cs="Times New Roman"/>
          <w:bCs/>
        </w:rPr>
        <w:t>Nyitama</w:t>
      </w:r>
      <w:proofErr w:type="spellEnd"/>
      <w:r w:rsidRPr="00D245BD">
        <w:rPr>
          <w:rFonts w:ascii="Times New Roman" w:hAnsi="Times New Roman" w:cs="Times New Roman"/>
          <w:bCs/>
        </w:rPr>
        <w:t xml:space="preserve"> </w:t>
      </w:r>
      <w:proofErr w:type="spellStart"/>
      <w:r w:rsidRPr="00D245BD">
        <w:rPr>
          <w:rFonts w:ascii="Times New Roman" w:hAnsi="Times New Roman" w:cs="Times New Roman"/>
          <w:bCs/>
        </w:rPr>
        <w:t>Zirra</w:t>
      </w:r>
      <w:proofErr w:type="spellEnd"/>
      <w:r w:rsidRPr="00D245BD">
        <w:rPr>
          <w:rFonts w:ascii="Times New Roman" w:hAnsi="Times New Roman" w:cs="Times New Roman"/>
          <w:bCs/>
        </w:rPr>
        <w:t xml:space="preserve"> Stephen</w:t>
      </w:r>
      <w:r w:rsidRPr="00D245BD">
        <w:rPr>
          <w:rFonts w:ascii="Times New Roman" w:hAnsi="Times New Roman" w:cs="Times New Roman"/>
          <w:bCs/>
          <w:vertAlign w:val="superscript"/>
        </w:rPr>
        <w:t>1</w:t>
      </w:r>
    </w:p>
    <w:p w14:paraId="0754BF54" w14:textId="3E9F4BA8" w:rsidR="00376410" w:rsidRPr="00D245BD" w:rsidRDefault="00376410" w:rsidP="001F2FF8">
      <w:pPr>
        <w:spacing w:after="0" w:line="360" w:lineRule="auto"/>
        <w:jc w:val="center"/>
        <w:rPr>
          <w:rFonts w:ascii="Times New Roman" w:hAnsi="Times New Roman" w:cs="Times New Roman"/>
          <w:bCs/>
        </w:rPr>
      </w:pPr>
      <w:r w:rsidRPr="00D245BD">
        <w:rPr>
          <w:rFonts w:ascii="Times New Roman" w:hAnsi="Times New Roman" w:cs="Times New Roman"/>
          <w:bCs/>
        </w:rPr>
        <w:t xml:space="preserve">Postgraduate Student, Department of Economics and Development Studies, Federal University </w:t>
      </w:r>
      <w:proofErr w:type="spellStart"/>
      <w:r w:rsidRPr="00D245BD">
        <w:rPr>
          <w:rFonts w:ascii="Times New Roman" w:hAnsi="Times New Roman" w:cs="Times New Roman"/>
          <w:bCs/>
        </w:rPr>
        <w:t>Kashere</w:t>
      </w:r>
      <w:proofErr w:type="spellEnd"/>
      <w:r w:rsidRPr="00D245BD">
        <w:rPr>
          <w:rFonts w:ascii="Times New Roman" w:hAnsi="Times New Roman" w:cs="Times New Roman"/>
          <w:bCs/>
        </w:rPr>
        <w:t>, Gombe State.</w:t>
      </w:r>
    </w:p>
    <w:p w14:paraId="593C9DDB" w14:textId="002648DF" w:rsidR="00376410" w:rsidRPr="00D245BD" w:rsidRDefault="00000000" w:rsidP="001F2FF8">
      <w:pPr>
        <w:spacing w:after="0" w:line="360" w:lineRule="auto"/>
        <w:jc w:val="center"/>
        <w:rPr>
          <w:rFonts w:ascii="Times New Roman" w:hAnsi="Times New Roman" w:cs="Times New Roman"/>
          <w:bCs/>
        </w:rPr>
      </w:pPr>
      <w:hyperlink r:id="rId6" w:history="1">
        <w:r w:rsidR="00376410" w:rsidRPr="00D245BD">
          <w:rPr>
            <w:rStyle w:val="Hyperlink"/>
            <w:rFonts w:ascii="Times New Roman" w:hAnsi="Times New Roman" w:cs="Times New Roman"/>
            <w:bCs/>
          </w:rPr>
          <w:t>zirastephen32@gmail.com</w:t>
        </w:r>
      </w:hyperlink>
    </w:p>
    <w:p w14:paraId="0580B813" w14:textId="77777777" w:rsidR="00376410" w:rsidRPr="00D245BD" w:rsidRDefault="00376410" w:rsidP="001F2FF8">
      <w:pPr>
        <w:spacing w:after="0" w:line="360" w:lineRule="auto"/>
        <w:jc w:val="center"/>
        <w:rPr>
          <w:rFonts w:ascii="Times New Roman" w:hAnsi="Times New Roman" w:cs="Times New Roman"/>
          <w:bCs/>
        </w:rPr>
      </w:pPr>
      <w:r w:rsidRPr="00D245BD">
        <w:rPr>
          <w:rFonts w:ascii="Times New Roman" w:hAnsi="Times New Roman" w:cs="Times New Roman"/>
          <w:bCs/>
        </w:rPr>
        <w:t>08068565403</w:t>
      </w:r>
    </w:p>
    <w:p w14:paraId="36225864" w14:textId="77777777" w:rsidR="00376410" w:rsidRPr="00D245BD" w:rsidRDefault="00376410" w:rsidP="001F2FF8">
      <w:pPr>
        <w:spacing w:after="0" w:line="360" w:lineRule="auto"/>
        <w:jc w:val="center"/>
        <w:rPr>
          <w:rFonts w:ascii="Times New Roman" w:hAnsi="Times New Roman" w:cs="Times New Roman"/>
          <w:bCs/>
          <w:vertAlign w:val="superscript"/>
        </w:rPr>
      </w:pPr>
      <w:r w:rsidRPr="00D245BD">
        <w:rPr>
          <w:rFonts w:ascii="Times New Roman" w:hAnsi="Times New Roman" w:cs="Times New Roman"/>
          <w:bCs/>
        </w:rPr>
        <w:t>Prof. Mohammed Inuwa Dauda</w:t>
      </w:r>
      <w:r w:rsidRPr="00D245BD">
        <w:rPr>
          <w:rFonts w:ascii="Times New Roman" w:hAnsi="Times New Roman" w:cs="Times New Roman"/>
          <w:bCs/>
          <w:vertAlign w:val="superscript"/>
        </w:rPr>
        <w:t>2</w:t>
      </w:r>
    </w:p>
    <w:p w14:paraId="5EA5C39A" w14:textId="57C64882" w:rsidR="00376410" w:rsidRPr="00D245BD" w:rsidRDefault="00376410" w:rsidP="001F2FF8">
      <w:pPr>
        <w:spacing w:after="0" w:line="360" w:lineRule="auto"/>
        <w:jc w:val="center"/>
        <w:rPr>
          <w:rFonts w:ascii="Times New Roman" w:hAnsi="Times New Roman" w:cs="Times New Roman"/>
          <w:bCs/>
        </w:rPr>
      </w:pPr>
      <w:r w:rsidRPr="00D245BD">
        <w:rPr>
          <w:rFonts w:ascii="Times New Roman" w:hAnsi="Times New Roman" w:cs="Times New Roman"/>
          <w:bCs/>
        </w:rPr>
        <w:t xml:space="preserve">Department of Economics and Development Studies, Federal University </w:t>
      </w:r>
      <w:proofErr w:type="spellStart"/>
      <w:r w:rsidRPr="00D245BD">
        <w:rPr>
          <w:rFonts w:ascii="Times New Roman" w:hAnsi="Times New Roman" w:cs="Times New Roman"/>
          <w:bCs/>
        </w:rPr>
        <w:t>Kashere</w:t>
      </w:r>
      <w:proofErr w:type="spellEnd"/>
      <w:r w:rsidRPr="00D245BD">
        <w:rPr>
          <w:rFonts w:ascii="Times New Roman" w:hAnsi="Times New Roman" w:cs="Times New Roman"/>
          <w:bCs/>
        </w:rPr>
        <w:t>, Gombe State.</w:t>
      </w:r>
    </w:p>
    <w:p w14:paraId="184DCB88" w14:textId="77777777" w:rsidR="00376410" w:rsidRPr="00D245BD" w:rsidRDefault="00000000" w:rsidP="001F2FF8">
      <w:pPr>
        <w:spacing w:after="0" w:line="360" w:lineRule="auto"/>
        <w:jc w:val="center"/>
        <w:rPr>
          <w:rFonts w:ascii="Times New Roman" w:hAnsi="Times New Roman" w:cs="Times New Roman"/>
          <w:bCs/>
        </w:rPr>
      </w:pPr>
      <w:hyperlink r:id="rId7" w:history="1">
        <w:r w:rsidR="00376410" w:rsidRPr="00D245BD">
          <w:rPr>
            <w:rStyle w:val="Hyperlink"/>
            <w:rFonts w:ascii="Times New Roman" w:hAnsi="Times New Roman" w:cs="Times New Roman"/>
            <w:bCs/>
          </w:rPr>
          <w:t>migonidauda@gmail.com</w:t>
        </w:r>
      </w:hyperlink>
    </w:p>
    <w:p w14:paraId="7B85D90C" w14:textId="77777777" w:rsidR="00376410" w:rsidRPr="00D245BD" w:rsidRDefault="00376410" w:rsidP="001F2FF8">
      <w:pPr>
        <w:spacing w:after="0" w:line="360" w:lineRule="auto"/>
        <w:jc w:val="center"/>
        <w:rPr>
          <w:rFonts w:ascii="Times New Roman" w:hAnsi="Times New Roman" w:cs="Times New Roman"/>
          <w:bCs/>
        </w:rPr>
      </w:pPr>
      <w:r w:rsidRPr="00D245BD">
        <w:rPr>
          <w:rFonts w:ascii="Times New Roman" w:hAnsi="Times New Roman" w:cs="Times New Roman"/>
          <w:bCs/>
        </w:rPr>
        <w:t>07064332669</w:t>
      </w:r>
    </w:p>
    <w:p w14:paraId="58E4ADD9" w14:textId="77777777" w:rsidR="00376410" w:rsidRPr="00D245BD" w:rsidRDefault="00376410" w:rsidP="001F2FF8">
      <w:pPr>
        <w:spacing w:after="0" w:line="360" w:lineRule="auto"/>
        <w:jc w:val="center"/>
        <w:rPr>
          <w:rFonts w:ascii="Times New Roman" w:hAnsi="Times New Roman" w:cs="Times New Roman"/>
          <w:bCs/>
          <w:vertAlign w:val="superscript"/>
        </w:rPr>
      </w:pPr>
      <w:proofErr w:type="spellStart"/>
      <w:r w:rsidRPr="00D245BD">
        <w:rPr>
          <w:rFonts w:ascii="Times New Roman" w:hAnsi="Times New Roman" w:cs="Times New Roman"/>
          <w:bCs/>
        </w:rPr>
        <w:t>Dr.</w:t>
      </w:r>
      <w:proofErr w:type="spellEnd"/>
      <w:r w:rsidRPr="00D245BD">
        <w:rPr>
          <w:rFonts w:ascii="Times New Roman" w:hAnsi="Times New Roman" w:cs="Times New Roman"/>
          <w:bCs/>
        </w:rPr>
        <w:t xml:space="preserve"> Idowu Daniel Onisanwa</w:t>
      </w:r>
      <w:r w:rsidRPr="00D245BD">
        <w:rPr>
          <w:rFonts w:ascii="Times New Roman" w:hAnsi="Times New Roman" w:cs="Times New Roman"/>
          <w:bCs/>
          <w:vertAlign w:val="superscript"/>
        </w:rPr>
        <w:t>3</w:t>
      </w:r>
    </w:p>
    <w:p w14:paraId="57EE4DD9" w14:textId="6CD89797" w:rsidR="00376410" w:rsidRPr="00D245BD" w:rsidRDefault="00376410" w:rsidP="001F2FF8">
      <w:pPr>
        <w:spacing w:after="0" w:line="360" w:lineRule="auto"/>
        <w:jc w:val="center"/>
        <w:rPr>
          <w:rFonts w:ascii="Times New Roman" w:hAnsi="Times New Roman" w:cs="Times New Roman"/>
          <w:bCs/>
        </w:rPr>
      </w:pPr>
      <w:r w:rsidRPr="00D245BD">
        <w:rPr>
          <w:rFonts w:ascii="Times New Roman" w:hAnsi="Times New Roman" w:cs="Times New Roman"/>
          <w:bCs/>
        </w:rPr>
        <w:t xml:space="preserve">Department of Economics and Development Studies, Federal University </w:t>
      </w:r>
      <w:proofErr w:type="spellStart"/>
      <w:r w:rsidRPr="00D245BD">
        <w:rPr>
          <w:rFonts w:ascii="Times New Roman" w:hAnsi="Times New Roman" w:cs="Times New Roman"/>
          <w:bCs/>
        </w:rPr>
        <w:t>Kashere</w:t>
      </w:r>
      <w:proofErr w:type="spellEnd"/>
      <w:r w:rsidRPr="00D245BD">
        <w:rPr>
          <w:rFonts w:ascii="Times New Roman" w:hAnsi="Times New Roman" w:cs="Times New Roman"/>
          <w:bCs/>
        </w:rPr>
        <w:t>, Gombe State.</w:t>
      </w:r>
    </w:p>
    <w:p w14:paraId="6C2D6CE0" w14:textId="77777777" w:rsidR="00376410" w:rsidRPr="00D245BD" w:rsidRDefault="00000000" w:rsidP="001F2FF8">
      <w:pPr>
        <w:spacing w:after="0" w:line="360" w:lineRule="auto"/>
        <w:jc w:val="center"/>
        <w:rPr>
          <w:rFonts w:ascii="Times New Roman" w:hAnsi="Times New Roman" w:cs="Times New Roman"/>
          <w:bCs/>
        </w:rPr>
      </w:pPr>
      <w:hyperlink r:id="rId8" w:history="1">
        <w:r w:rsidR="00376410" w:rsidRPr="00D245BD">
          <w:rPr>
            <w:rStyle w:val="Hyperlink"/>
            <w:rFonts w:ascii="Times New Roman" w:hAnsi="Times New Roman" w:cs="Times New Roman"/>
            <w:bCs/>
          </w:rPr>
          <w:t>Idowu.daniel@fukashere.edu.ng</w:t>
        </w:r>
      </w:hyperlink>
    </w:p>
    <w:p w14:paraId="25B6AE8F" w14:textId="77777777" w:rsidR="00376410" w:rsidRPr="00D245BD" w:rsidRDefault="00376410" w:rsidP="001F2FF8">
      <w:pPr>
        <w:spacing w:after="0" w:line="360" w:lineRule="auto"/>
        <w:jc w:val="center"/>
        <w:rPr>
          <w:rFonts w:ascii="Times New Roman" w:hAnsi="Times New Roman" w:cs="Times New Roman"/>
          <w:bCs/>
        </w:rPr>
      </w:pPr>
      <w:r w:rsidRPr="00D245BD">
        <w:rPr>
          <w:rFonts w:ascii="Times New Roman" w:hAnsi="Times New Roman" w:cs="Times New Roman"/>
          <w:bCs/>
        </w:rPr>
        <w:t>09077323120</w:t>
      </w:r>
    </w:p>
    <w:p w14:paraId="246EC321" w14:textId="77777777" w:rsidR="00475D56" w:rsidRPr="00D245BD" w:rsidRDefault="00475D56" w:rsidP="00475D56">
      <w:pPr>
        <w:pStyle w:val="Heading1"/>
        <w:spacing w:before="0" w:after="240" w:line="240" w:lineRule="auto"/>
        <w:rPr>
          <w:rFonts w:ascii="Times New Roman" w:hAnsi="Times New Roman" w:cs="Times New Roman"/>
          <w:b/>
          <w:bCs/>
          <w:sz w:val="22"/>
          <w:szCs w:val="22"/>
        </w:rPr>
      </w:pPr>
      <w:r w:rsidRPr="00D245BD">
        <w:rPr>
          <w:rFonts w:ascii="Times New Roman" w:hAnsi="Times New Roman" w:cs="Times New Roman"/>
          <w:b/>
          <w:bCs/>
          <w:sz w:val="22"/>
          <w:szCs w:val="22"/>
        </w:rPr>
        <w:t>ABSTRACT</w:t>
      </w:r>
    </w:p>
    <w:p w14:paraId="484096FD" w14:textId="77777777" w:rsidR="00475D56" w:rsidRPr="00D245BD" w:rsidRDefault="00475D56" w:rsidP="00475D56">
      <w:pPr>
        <w:pStyle w:val="NormalWeb"/>
        <w:spacing w:after="0" w:line="240" w:lineRule="auto"/>
        <w:jc w:val="both"/>
        <w:rPr>
          <w:sz w:val="22"/>
          <w:szCs w:val="22"/>
        </w:rPr>
      </w:pPr>
      <w:r w:rsidRPr="00D245BD">
        <w:rPr>
          <w:i/>
          <w:iCs/>
          <w:sz w:val="22"/>
          <w:szCs w:val="22"/>
        </w:rPr>
        <w:t xml:space="preserve">This study examines the interactive impact of health expenditure and institutional quality on life expectancy in 45 Sub-Saharan African countries from 2000 to 2024, using panel data. Health expenditure, institutional quality and life expectancy were sourced from World Bank, (2026). System Generalized Method of Moment (GMM) test was employed to analysed the data. The result revealed that both private and government health expenditure significantly improve life expectancy in Sub-Saharan Africa, with public spending having a stronger impact. Institutional quality shows mixed effects: regulatory quality positively influences life expectancy, while government effectiveness is negative and control of corruption is not statistically significant. Interaction results further reveal that effective governance and strong regulatory frameworks enhance the impact of health expenditure on life expectancy, whereas weak corruption control and poor regulation reduce the effectiveness of especially private health expenditure. Generally, the findings suggest that health expenditure improves population health, but its effectiveness is strongly conditioned by the quality of institutions and governance. Time effects further show a general upward trend in life expectancy over the study period, with a temporary decline in 2021 likely due to the COVID-19 pandemic. It is recommended that governments in Sub-Saharan Africa should increase and sustain both public and private health expenditure, as this directly improves life expectancy. However, to maximize these gains, stronger institutional frameworks are required, particularly through improved regulatory quality, enhanced government effectiveness, and robust anti-corruption measures. Policymakers should prioritize strengthening governance capacity in the health sector to ensure efficient allocation and utilization of health resources, while also improving transparency and accountability mechanisms. </w:t>
      </w:r>
    </w:p>
    <w:p w14:paraId="70ED451E" w14:textId="77777777" w:rsidR="00475D56" w:rsidRPr="00D245BD" w:rsidRDefault="00475D56" w:rsidP="00475D56">
      <w:pPr>
        <w:pStyle w:val="NormalWeb"/>
        <w:spacing w:after="0"/>
        <w:jc w:val="both"/>
        <w:rPr>
          <w:i/>
          <w:iCs/>
          <w:sz w:val="22"/>
          <w:szCs w:val="22"/>
        </w:rPr>
      </w:pPr>
    </w:p>
    <w:p w14:paraId="79956CF3" w14:textId="0063423A" w:rsidR="005E56AC" w:rsidRPr="00D245BD" w:rsidRDefault="00475D56" w:rsidP="002B74C5">
      <w:pPr>
        <w:pStyle w:val="NormalWeb"/>
        <w:spacing w:line="240" w:lineRule="auto"/>
        <w:jc w:val="both"/>
        <w:rPr>
          <w:sz w:val="22"/>
          <w:szCs w:val="22"/>
        </w:rPr>
      </w:pPr>
      <w:bookmarkStart w:id="0" w:name="_Hlk227843502"/>
      <w:r w:rsidRPr="00D245BD">
        <w:rPr>
          <w:b/>
          <w:bCs/>
          <w:sz w:val="22"/>
          <w:szCs w:val="22"/>
        </w:rPr>
        <w:t xml:space="preserve">Keywords: </w:t>
      </w:r>
      <w:r w:rsidRPr="00D245BD">
        <w:rPr>
          <w:sz w:val="22"/>
          <w:szCs w:val="22"/>
        </w:rPr>
        <w:t>Health Expenditure; Institutional Quality; Life Expectancy; System GMM; Sub-Saharan Africa.</w:t>
      </w:r>
      <w:bookmarkEnd w:id="0"/>
    </w:p>
    <w:p w14:paraId="61B1515B" w14:textId="7764102C" w:rsidR="009422AA" w:rsidRPr="00D245BD" w:rsidRDefault="009422AA" w:rsidP="001F2FF8">
      <w:pPr>
        <w:spacing w:after="0" w:line="360" w:lineRule="auto"/>
        <w:jc w:val="both"/>
        <w:rPr>
          <w:rFonts w:ascii="Times New Roman" w:hAnsi="Times New Roman" w:cs="Times New Roman"/>
          <w:b/>
          <w:bCs/>
        </w:rPr>
      </w:pPr>
      <w:r w:rsidRPr="00D245BD">
        <w:rPr>
          <w:rFonts w:ascii="Times New Roman" w:hAnsi="Times New Roman" w:cs="Times New Roman"/>
          <w:b/>
          <w:bCs/>
        </w:rPr>
        <w:t xml:space="preserve">Introduction </w:t>
      </w:r>
    </w:p>
    <w:p w14:paraId="75EDB4BD" w14:textId="38FFF747" w:rsidR="009422AA" w:rsidRPr="00D245BD" w:rsidRDefault="009422AA" w:rsidP="001F2FF8">
      <w:pPr>
        <w:pStyle w:val="NormalWeb"/>
        <w:spacing w:after="0" w:line="360" w:lineRule="auto"/>
        <w:ind w:firstLine="720"/>
        <w:jc w:val="both"/>
        <w:rPr>
          <w:sz w:val="22"/>
          <w:szCs w:val="22"/>
        </w:rPr>
      </w:pPr>
      <w:r w:rsidRPr="00D245BD">
        <w:rPr>
          <w:sz w:val="22"/>
          <w:szCs w:val="22"/>
        </w:rPr>
        <w:t xml:space="preserve">Life expectancy is widely regarded as a comprehensive indicator of population health and </w:t>
      </w:r>
      <w:r w:rsidR="00376410" w:rsidRPr="00D245BD">
        <w:rPr>
          <w:sz w:val="22"/>
          <w:szCs w:val="22"/>
        </w:rPr>
        <w:t>general</w:t>
      </w:r>
      <w:r w:rsidRPr="00D245BD">
        <w:rPr>
          <w:sz w:val="22"/>
          <w:szCs w:val="22"/>
        </w:rPr>
        <w:t xml:space="preserve"> well-being, yet Sub-Saharan Africa (SSA) continues to lag behind global standards despite notable improvements over time. Globally, life expectancy increased from approximately 67.4 years in </w:t>
      </w:r>
      <w:r w:rsidRPr="00D245BD">
        <w:rPr>
          <w:sz w:val="22"/>
          <w:szCs w:val="22"/>
        </w:rPr>
        <w:lastRenderedPageBreak/>
        <w:t xml:space="preserve">2000 to about 71.8 years in 2021, reflecting significant advancements in healthcare delivery, disease prevention, and living conditions (World Bank, 2024). While SSA has experienced gradual gains in longevity, progress remains constrained by structural challenges, particularly inadequate health financing and weak institutional systems. Theoretical insights emphasize that health is a fundamental component of human capital that enhances labour productivity and supports long-term economic growth (Grossman, 1972; Romer, 1996), while empirical evidence shows that increased health expenditure contributes positively to life expectancy (Somi et al., 2009; </w:t>
      </w:r>
      <w:proofErr w:type="spellStart"/>
      <w:r w:rsidRPr="00D245BD">
        <w:rPr>
          <w:sz w:val="22"/>
          <w:szCs w:val="22"/>
        </w:rPr>
        <w:t>Novignon</w:t>
      </w:r>
      <w:proofErr w:type="spellEnd"/>
      <w:r w:rsidRPr="00D245BD">
        <w:rPr>
          <w:sz w:val="22"/>
          <w:szCs w:val="22"/>
        </w:rPr>
        <w:t xml:space="preserve"> et al., 2012).</w:t>
      </w:r>
    </w:p>
    <w:p w14:paraId="766B65C3" w14:textId="77777777" w:rsidR="009422AA" w:rsidRPr="00D245BD" w:rsidRDefault="009422AA" w:rsidP="001F2FF8">
      <w:pPr>
        <w:pStyle w:val="NormalWeb"/>
        <w:spacing w:after="0" w:line="360" w:lineRule="auto"/>
        <w:ind w:firstLine="720"/>
        <w:jc w:val="both"/>
        <w:rPr>
          <w:sz w:val="22"/>
          <w:szCs w:val="22"/>
        </w:rPr>
      </w:pPr>
      <w:r w:rsidRPr="00D245BD">
        <w:rPr>
          <w:sz w:val="22"/>
          <w:szCs w:val="22"/>
        </w:rPr>
        <w:t>However, public investment in health across SSA remains relatively low, averaging about 6.7% of total government expenditure over the study period, which is significantly below global and regional benchmarks (World Bank, 2024). At the same time, private health expenditure constitutes a substantial share of total health spending, averaging approximately 47.5%, reflecting a heavy reliance on household out-of-pocket payments. Although global trends indicate a shift toward increased public health spending from 9.5% of government expenditure in 2000 to 11.2% in 2021 and a decline in private spending from 44.2% to 36.1% (World Bank, 2024), such improvements have been less pronounced in SSA. This imbalance in health financing may limit equitable access to healthcare services and slow progress in improving life expectancy.</w:t>
      </w:r>
    </w:p>
    <w:p w14:paraId="0296CD8E" w14:textId="77777777" w:rsidR="00361601" w:rsidRPr="00D245BD" w:rsidRDefault="009422AA" w:rsidP="00361601">
      <w:pPr>
        <w:pStyle w:val="NormalWeb"/>
        <w:spacing w:after="0" w:line="360" w:lineRule="auto"/>
        <w:ind w:firstLine="720"/>
        <w:jc w:val="both"/>
        <w:rPr>
          <w:sz w:val="22"/>
          <w:szCs w:val="22"/>
        </w:rPr>
      </w:pPr>
      <w:r w:rsidRPr="00D245BD">
        <w:rPr>
          <w:sz w:val="22"/>
          <w:szCs w:val="22"/>
        </w:rPr>
        <w:t>Importantly, the effectiveness of health expenditure in enhancing life expectancy is strongly influenced by institutional quality. Governance indicators such as government effectiveness, control of corruption, and regulatory quality determine the efficiency of public service delivery and the extent to which health resources translate into improved outcomes (</w:t>
      </w:r>
      <w:r w:rsidR="009D66E4" w:rsidRPr="00D245BD">
        <w:rPr>
          <w:sz w:val="22"/>
          <w:szCs w:val="22"/>
        </w:rPr>
        <w:t>Awe &amp; Ab</w:t>
      </w:r>
      <w:r w:rsidR="00361601" w:rsidRPr="00D245BD">
        <w:rPr>
          <w:sz w:val="22"/>
          <w:szCs w:val="22"/>
        </w:rPr>
        <w:t>dulrahman</w:t>
      </w:r>
      <w:r w:rsidR="009D66E4" w:rsidRPr="00D245BD">
        <w:rPr>
          <w:sz w:val="22"/>
          <w:szCs w:val="22"/>
        </w:rPr>
        <w:t>, 2024</w:t>
      </w:r>
      <w:r w:rsidRPr="00D245BD">
        <w:rPr>
          <w:sz w:val="22"/>
          <w:szCs w:val="22"/>
        </w:rPr>
        <w:t>). In SSA, institutional performance remains relatively weak and highly volatile, with frequent fluctuations in governance indicators reflecting policy inconsistencies and limited enforcement capacity. These institutional deficiencies often undermine the impact of health spending on population health (Hadipour et al., 2023).</w:t>
      </w:r>
    </w:p>
    <w:p w14:paraId="54CD656A" w14:textId="5B7DFE7B" w:rsidR="009422AA" w:rsidRPr="00D245BD" w:rsidRDefault="009422AA" w:rsidP="00361601">
      <w:pPr>
        <w:pStyle w:val="NormalWeb"/>
        <w:spacing w:after="0" w:line="360" w:lineRule="auto"/>
        <w:ind w:firstLine="720"/>
        <w:jc w:val="both"/>
        <w:rPr>
          <w:sz w:val="22"/>
          <w:szCs w:val="22"/>
        </w:rPr>
      </w:pPr>
      <w:r w:rsidRPr="00D245BD">
        <w:rPr>
          <w:sz w:val="22"/>
          <w:szCs w:val="22"/>
        </w:rPr>
        <w:t xml:space="preserve">Although existing studies have examined the individual effects of health expenditure and institutional quality on </w:t>
      </w:r>
      <w:r w:rsidR="00361601" w:rsidRPr="00D245BD">
        <w:rPr>
          <w:sz w:val="22"/>
          <w:szCs w:val="22"/>
        </w:rPr>
        <w:t xml:space="preserve">different </w:t>
      </w:r>
      <w:r w:rsidRPr="00D245BD">
        <w:rPr>
          <w:sz w:val="22"/>
          <w:szCs w:val="22"/>
        </w:rPr>
        <w:t>health outcomes (</w:t>
      </w:r>
      <w:r w:rsidR="00361601" w:rsidRPr="00D245BD">
        <w:rPr>
          <w:sz w:val="22"/>
          <w:szCs w:val="22"/>
        </w:rPr>
        <w:t xml:space="preserve">see Anwar et al., 2023; Bein &amp; Coker-Farrell, 2020; Awoyemi et al., 2023; </w:t>
      </w:r>
      <w:proofErr w:type="spellStart"/>
      <w:r w:rsidR="00361601" w:rsidRPr="00D245BD">
        <w:rPr>
          <w:sz w:val="22"/>
          <w:szCs w:val="22"/>
        </w:rPr>
        <w:t>Bukari</w:t>
      </w:r>
      <w:proofErr w:type="spellEnd"/>
      <w:r w:rsidR="00361601" w:rsidRPr="00D245BD">
        <w:rPr>
          <w:sz w:val="22"/>
          <w:szCs w:val="22"/>
        </w:rPr>
        <w:t xml:space="preserve"> et al., 2024; </w:t>
      </w:r>
      <w:proofErr w:type="spellStart"/>
      <w:r w:rsidR="00361601" w:rsidRPr="00D245BD">
        <w:rPr>
          <w:sz w:val="22"/>
          <w:szCs w:val="22"/>
        </w:rPr>
        <w:t>Ebeh</w:t>
      </w:r>
      <w:proofErr w:type="spellEnd"/>
      <w:r w:rsidR="00361601" w:rsidRPr="00D245BD">
        <w:rPr>
          <w:sz w:val="22"/>
          <w:szCs w:val="22"/>
        </w:rPr>
        <w:t xml:space="preserve"> et al., 2024; Awe &amp; Abdulrahman, 2024</w:t>
      </w:r>
      <w:r w:rsidRPr="00D245BD">
        <w:rPr>
          <w:sz w:val="22"/>
          <w:szCs w:val="22"/>
        </w:rPr>
        <w:t>), limited empirical attention has been given to their interac</w:t>
      </w:r>
      <w:r w:rsidR="004223EA" w:rsidRPr="00D245BD">
        <w:rPr>
          <w:sz w:val="22"/>
          <w:szCs w:val="22"/>
        </w:rPr>
        <w:t>tive impact on life expectancy</w:t>
      </w:r>
      <w:r w:rsidRPr="00D245BD">
        <w:rPr>
          <w:sz w:val="22"/>
          <w:szCs w:val="22"/>
        </w:rPr>
        <w:t xml:space="preserve">. Given that financial resources alone may not guarantee improved health outcomes without strong institutions, this study investigates </w:t>
      </w:r>
      <w:r w:rsidR="001E0AA4" w:rsidRPr="00D245BD">
        <w:rPr>
          <w:sz w:val="22"/>
          <w:szCs w:val="22"/>
        </w:rPr>
        <w:t>the interactive impact of health expenditure and institutional quality on</w:t>
      </w:r>
      <w:r w:rsidRPr="00D245BD">
        <w:rPr>
          <w:sz w:val="22"/>
          <w:szCs w:val="22"/>
        </w:rPr>
        <w:t xml:space="preserve"> life expectancy in Sub-Saharan Africa from 2000 to 2024.</w:t>
      </w:r>
    </w:p>
    <w:p w14:paraId="0F587636" w14:textId="77777777" w:rsidR="003A2719" w:rsidRPr="00D245BD" w:rsidRDefault="003A2719" w:rsidP="003A2719">
      <w:pPr>
        <w:pStyle w:val="Heading3"/>
        <w:spacing w:before="0" w:after="0" w:line="360" w:lineRule="auto"/>
        <w:jc w:val="both"/>
        <w:rPr>
          <w:rFonts w:cs="Times New Roman"/>
          <w:b/>
          <w:bCs/>
          <w:sz w:val="22"/>
          <w:szCs w:val="22"/>
        </w:rPr>
      </w:pPr>
      <w:r w:rsidRPr="00D245BD">
        <w:rPr>
          <w:rFonts w:cs="Times New Roman"/>
          <w:b/>
          <w:bCs/>
          <w:sz w:val="22"/>
          <w:szCs w:val="22"/>
        </w:rPr>
        <w:t>2.0 Literature Review</w:t>
      </w:r>
    </w:p>
    <w:p w14:paraId="4FBBC1F8" w14:textId="77777777" w:rsidR="003A2719" w:rsidRPr="00D245BD" w:rsidRDefault="003A2719" w:rsidP="003A2719">
      <w:pPr>
        <w:spacing w:after="0"/>
        <w:rPr>
          <w:rFonts w:ascii="Times New Roman" w:hAnsi="Times New Roman" w:cs="Times New Roman"/>
          <w:b/>
          <w:bCs/>
        </w:rPr>
      </w:pPr>
      <w:r w:rsidRPr="00D245BD">
        <w:rPr>
          <w:rFonts w:ascii="Times New Roman" w:hAnsi="Times New Roman" w:cs="Times New Roman"/>
          <w:b/>
          <w:bCs/>
        </w:rPr>
        <w:t>2.1 Conceptual Clarification</w:t>
      </w:r>
    </w:p>
    <w:p w14:paraId="710D2474" w14:textId="77777777" w:rsidR="003A2719" w:rsidRPr="00D245BD" w:rsidRDefault="003A2719" w:rsidP="003A2719">
      <w:pPr>
        <w:pStyle w:val="NormalWeb"/>
        <w:spacing w:after="0" w:line="360" w:lineRule="auto"/>
        <w:ind w:firstLine="720"/>
        <w:jc w:val="both"/>
        <w:rPr>
          <w:sz w:val="22"/>
          <w:szCs w:val="22"/>
        </w:rPr>
      </w:pPr>
      <w:r w:rsidRPr="00D245BD">
        <w:rPr>
          <w:sz w:val="22"/>
          <w:szCs w:val="22"/>
        </w:rPr>
        <w:t xml:space="preserve">This section provides a conceptual clarification of the key variables underpinning the study, namely health expenditure, institutional quality, and life expectancy. </w:t>
      </w:r>
    </w:p>
    <w:p w14:paraId="203C5C6C" w14:textId="77777777" w:rsidR="003A2719" w:rsidRPr="00D245BD" w:rsidRDefault="003A2719" w:rsidP="003A2719">
      <w:pPr>
        <w:pStyle w:val="Heading3"/>
        <w:spacing w:before="0" w:after="0" w:line="360" w:lineRule="auto"/>
        <w:jc w:val="both"/>
        <w:rPr>
          <w:rFonts w:cs="Times New Roman"/>
          <w:b/>
          <w:bCs/>
          <w:sz w:val="22"/>
          <w:szCs w:val="22"/>
        </w:rPr>
      </w:pPr>
      <w:r w:rsidRPr="00D245BD">
        <w:rPr>
          <w:rFonts w:cs="Times New Roman"/>
          <w:b/>
          <w:bCs/>
          <w:sz w:val="22"/>
          <w:szCs w:val="22"/>
        </w:rPr>
        <w:lastRenderedPageBreak/>
        <w:t>2.1.1 Concept of Health Expenditure</w:t>
      </w:r>
    </w:p>
    <w:p w14:paraId="46B24C76" w14:textId="77777777" w:rsidR="003A2719" w:rsidRPr="00D245BD" w:rsidRDefault="003A2719" w:rsidP="003A2719">
      <w:pPr>
        <w:pStyle w:val="NormalWeb"/>
        <w:spacing w:after="0" w:line="360" w:lineRule="auto"/>
        <w:ind w:firstLine="720"/>
        <w:jc w:val="both"/>
        <w:rPr>
          <w:sz w:val="22"/>
          <w:szCs w:val="22"/>
        </w:rPr>
      </w:pPr>
      <w:r w:rsidRPr="00D245BD">
        <w:rPr>
          <w:sz w:val="22"/>
          <w:szCs w:val="22"/>
        </w:rPr>
        <w:t>Health is commonly described as a state of complete physical, mental, and social well-being, and not simply the absence of illness or disability (</w:t>
      </w:r>
      <w:r w:rsidRPr="00D245BD">
        <w:rPr>
          <w:rStyle w:val="whitespace-normal"/>
          <w:sz w:val="22"/>
          <w:szCs w:val="22"/>
        </w:rPr>
        <w:t>World Health Organization</w:t>
      </w:r>
      <w:r w:rsidRPr="00D245BD">
        <w:rPr>
          <w:sz w:val="22"/>
          <w:szCs w:val="22"/>
        </w:rPr>
        <w:t>, 1948). From an economic standpoint,</w:t>
      </w:r>
      <w:r w:rsidRPr="00D245BD">
        <w:rPr>
          <w:rStyle w:val="whitespace-normal"/>
          <w:sz w:val="22"/>
          <w:szCs w:val="22"/>
        </w:rPr>
        <w:t xml:space="preserve"> Grossman</w:t>
      </w:r>
      <w:r w:rsidRPr="00D245BD">
        <w:rPr>
          <w:sz w:val="22"/>
          <w:szCs w:val="22"/>
        </w:rPr>
        <w:t xml:space="preserve"> (1972) defines health as a form of human capital that yields a continuous stream of health benefits over time. In this context, health expenditure is viewed as an investment through which individuals and governments commit resources to improve health outcomes, increase productivity, and promote longer life expectancy.</w:t>
      </w:r>
    </w:p>
    <w:p w14:paraId="412C31AB" w14:textId="77777777" w:rsidR="003A2719" w:rsidRPr="00D245BD" w:rsidRDefault="003A2719" w:rsidP="003A2719">
      <w:pPr>
        <w:pStyle w:val="NormalWeb"/>
        <w:spacing w:after="0" w:line="360" w:lineRule="auto"/>
        <w:ind w:firstLine="720"/>
        <w:jc w:val="both"/>
        <w:rPr>
          <w:sz w:val="22"/>
          <w:szCs w:val="22"/>
        </w:rPr>
      </w:pPr>
      <w:r w:rsidRPr="00D245BD">
        <w:rPr>
          <w:sz w:val="22"/>
          <w:szCs w:val="22"/>
        </w:rPr>
        <w:t>Health expenditure is broadly divided into public and private spending. Public health expenditure includes government spending on healthcare services through recurrent and capital budgets, external aid, and social health insurance schemes (</w:t>
      </w:r>
      <w:r w:rsidRPr="00D245BD">
        <w:rPr>
          <w:rStyle w:val="whitespace-normal"/>
          <w:sz w:val="22"/>
          <w:szCs w:val="22"/>
        </w:rPr>
        <w:t>World Bank</w:t>
      </w:r>
      <w:r w:rsidRPr="00D245BD">
        <w:rPr>
          <w:sz w:val="22"/>
          <w:szCs w:val="22"/>
        </w:rPr>
        <w:t>, 2024). Private health expenditure, on the other hand, consists of household and private sector spending such as out-of-pocket payments, private insurance, donations, and direct healthcare expenses by firms (</w:t>
      </w:r>
      <w:r w:rsidRPr="00D245BD">
        <w:rPr>
          <w:rStyle w:val="whitespace-normal"/>
          <w:sz w:val="22"/>
          <w:szCs w:val="22"/>
        </w:rPr>
        <w:t>World Bank</w:t>
      </w:r>
      <w:r w:rsidRPr="00D245BD">
        <w:rPr>
          <w:sz w:val="22"/>
          <w:szCs w:val="22"/>
        </w:rPr>
        <w:t xml:space="preserve">, 2024). </w:t>
      </w:r>
    </w:p>
    <w:p w14:paraId="577A4F0D" w14:textId="77777777" w:rsidR="003A2719" w:rsidRPr="00D245BD" w:rsidRDefault="003A2719" w:rsidP="00184FF0">
      <w:pPr>
        <w:pStyle w:val="Heading3"/>
        <w:spacing w:before="0" w:after="0" w:line="360" w:lineRule="auto"/>
        <w:jc w:val="both"/>
        <w:rPr>
          <w:rFonts w:cs="Times New Roman"/>
          <w:b/>
          <w:bCs/>
          <w:sz w:val="22"/>
          <w:szCs w:val="22"/>
        </w:rPr>
      </w:pPr>
      <w:r w:rsidRPr="00D245BD">
        <w:rPr>
          <w:rFonts w:cs="Times New Roman"/>
          <w:b/>
          <w:bCs/>
          <w:sz w:val="22"/>
          <w:szCs w:val="22"/>
        </w:rPr>
        <w:t>2.1.2 Concept of life expectancy</w:t>
      </w:r>
    </w:p>
    <w:p w14:paraId="0A378F13" w14:textId="77777777" w:rsidR="003A2719" w:rsidRPr="00D245BD" w:rsidRDefault="003A2719" w:rsidP="00184FF0">
      <w:pPr>
        <w:spacing w:after="0" w:line="360" w:lineRule="auto"/>
        <w:ind w:firstLine="720"/>
        <w:jc w:val="both"/>
        <w:rPr>
          <w:rFonts w:ascii="Times New Roman" w:hAnsi="Times New Roman" w:cs="Times New Roman"/>
        </w:rPr>
      </w:pPr>
      <w:r w:rsidRPr="00D245BD">
        <w:rPr>
          <w:rFonts w:ascii="Times New Roman" w:hAnsi="Times New Roman" w:cs="Times New Roman"/>
        </w:rPr>
        <w:t>Life expectancy is an important indicator of health outcomes and represents the average number of years a new born is expected to live based on existing mortality patterns (</w:t>
      </w:r>
      <w:r w:rsidRPr="00D245BD">
        <w:rPr>
          <w:rStyle w:val="whitespace-normal"/>
          <w:rFonts w:ascii="Times New Roman" w:hAnsi="Times New Roman" w:cs="Times New Roman"/>
        </w:rPr>
        <w:t>United Nations</w:t>
      </w:r>
      <w:r w:rsidRPr="00D245BD">
        <w:rPr>
          <w:rFonts w:ascii="Times New Roman" w:hAnsi="Times New Roman" w:cs="Times New Roman"/>
        </w:rPr>
        <w:t>, 2021). It is commonly used to assess population health because it captures the quality of healthcare systems, living conditions, and the level of socio-economic development within a country. According to</w:t>
      </w:r>
      <w:r w:rsidRPr="00D245BD">
        <w:rPr>
          <w:rStyle w:val="whitespace-normal"/>
          <w:rFonts w:ascii="Times New Roman" w:hAnsi="Times New Roman" w:cs="Times New Roman"/>
        </w:rPr>
        <w:t xml:space="preserve"> Grossman</w:t>
      </w:r>
      <w:r w:rsidRPr="00D245BD">
        <w:rPr>
          <w:rFonts w:ascii="Times New Roman" w:hAnsi="Times New Roman" w:cs="Times New Roman"/>
        </w:rPr>
        <w:t xml:space="preserve">’s (1972) health capital theory, health is considered a stock that depreciates over time but can be improved through investments such as healthcare spending, better nutrition, and enhanced living standards. Similarly, </w:t>
      </w:r>
      <w:r w:rsidRPr="00D245BD">
        <w:rPr>
          <w:rStyle w:val="whitespace-normal"/>
          <w:rFonts w:ascii="Times New Roman" w:hAnsi="Times New Roman" w:cs="Times New Roman"/>
        </w:rPr>
        <w:t>George Hadley</w:t>
      </w:r>
      <w:r w:rsidRPr="00D245BD">
        <w:rPr>
          <w:rFonts w:ascii="Times New Roman" w:hAnsi="Times New Roman" w:cs="Times New Roman"/>
        </w:rPr>
        <w:t xml:space="preserve"> (1982) emphasizes that life expectancy is useful for measuring the efficiency and effectiveness of healthcare expenditure, since increased spending on health is expected to improve survival rates and longevity. As a result, life expectancy is widely applied in empirical research as a broad indicator of population health and welfare.</w:t>
      </w:r>
    </w:p>
    <w:p w14:paraId="10788E38" w14:textId="77777777" w:rsidR="003A2719" w:rsidRPr="00D245BD" w:rsidRDefault="003A2719" w:rsidP="00184FF0">
      <w:pPr>
        <w:pStyle w:val="Heading3"/>
        <w:spacing w:before="0" w:after="0" w:line="360" w:lineRule="auto"/>
        <w:jc w:val="both"/>
        <w:rPr>
          <w:rFonts w:cs="Times New Roman"/>
          <w:b/>
          <w:bCs/>
          <w:sz w:val="22"/>
          <w:szCs w:val="22"/>
        </w:rPr>
      </w:pPr>
      <w:r w:rsidRPr="00D245BD">
        <w:rPr>
          <w:rFonts w:cs="Times New Roman"/>
          <w:b/>
          <w:bCs/>
          <w:sz w:val="22"/>
          <w:szCs w:val="22"/>
        </w:rPr>
        <w:t>2.1.3 Concept of Institutional Quality</w:t>
      </w:r>
    </w:p>
    <w:p w14:paraId="6B0DE6B4" w14:textId="3AE99151" w:rsidR="003A2719" w:rsidRPr="00D245BD" w:rsidRDefault="003A2719" w:rsidP="00184FF0">
      <w:pPr>
        <w:pStyle w:val="NormalWeb"/>
        <w:spacing w:after="0" w:line="360" w:lineRule="auto"/>
        <w:ind w:firstLine="720"/>
        <w:jc w:val="both"/>
        <w:rPr>
          <w:sz w:val="22"/>
          <w:szCs w:val="22"/>
        </w:rPr>
      </w:pPr>
      <w:r w:rsidRPr="00D245BD">
        <w:rPr>
          <w:sz w:val="22"/>
          <w:szCs w:val="22"/>
        </w:rPr>
        <w:t>Institutional quality refers to the degree of effectiveness, transparency, and accountability within governance systems that influence economic and social performance (</w:t>
      </w:r>
      <w:proofErr w:type="spellStart"/>
      <w:r w:rsidRPr="00D245BD">
        <w:rPr>
          <w:sz w:val="22"/>
          <w:szCs w:val="22"/>
        </w:rPr>
        <w:t>Gebrue</w:t>
      </w:r>
      <w:proofErr w:type="spellEnd"/>
      <w:r w:rsidRPr="00D245BD">
        <w:rPr>
          <w:sz w:val="22"/>
          <w:szCs w:val="22"/>
        </w:rPr>
        <w:t>, 2024; Yousaf &amp; Riaz, 2024). It includes formal institutions such as laws, regulations, and government agencies, as well as informal norms and practices that shape societal behaviour. Strong institutional quality is characterized by effective legal systems, efficient regulatory frameworks, protection of property rights, and transparent governance structures. Institutional quality plays a vital role in determining how resources are allocated, policies are implemented, and economies perform generally. In the healthcare sector, weak institutions can reduce the efficiency of service delivery and weaken the effectiveness of health expenditure, especially in developing countries (Rizvi, 2019). In contrast, strong institutions encourage accountability, transparency, and prudent management of public resources, thereby improving the effectiveness of healthcare investments (Abubakar, 2020).</w:t>
      </w:r>
    </w:p>
    <w:p w14:paraId="66EF76A8" w14:textId="77777777" w:rsidR="00184FF0" w:rsidRDefault="00184FF0" w:rsidP="001F2FF8">
      <w:pPr>
        <w:spacing w:after="0" w:line="360" w:lineRule="auto"/>
        <w:jc w:val="both"/>
        <w:rPr>
          <w:rFonts w:ascii="Times New Roman" w:hAnsi="Times New Roman" w:cs="Times New Roman"/>
          <w:b/>
          <w:bCs/>
        </w:rPr>
      </w:pPr>
    </w:p>
    <w:p w14:paraId="43D3075F" w14:textId="77777777" w:rsidR="00184FF0" w:rsidRDefault="00184FF0" w:rsidP="001F2FF8">
      <w:pPr>
        <w:spacing w:after="0" w:line="360" w:lineRule="auto"/>
        <w:jc w:val="both"/>
        <w:rPr>
          <w:rFonts w:ascii="Times New Roman" w:hAnsi="Times New Roman" w:cs="Times New Roman"/>
          <w:b/>
          <w:bCs/>
        </w:rPr>
      </w:pPr>
    </w:p>
    <w:p w14:paraId="198ABC44" w14:textId="0BA7EA45" w:rsidR="002831BA" w:rsidRPr="00D245BD" w:rsidRDefault="002831BA" w:rsidP="001F2FF8">
      <w:pPr>
        <w:spacing w:after="0" w:line="360" w:lineRule="auto"/>
        <w:jc w:val="both"/>
        <w:rPr>
          <w:rFonts w:ascii="Times New Roman" w:hAnsi="Times New Roman" w:cs="Times New Roman"/>
          <w:b/>
          <w:bCs/>
        </w:rPr>
      </w:pPr>
      <w:r w:rsidRPr="00D245BD">
        <w:rPr>
          <w:rFonts w:ascii="Times New Roman" w:hAnsi="Times New Roman" w:cs="Times New Roman"/>
          <w:b/>
          <w:bCs/>
        </w:rPr>
        <w:lastRenderedPageBreak/>
        <w:t>2.2 Empirical literature</w:t>
      </w:r>
    </w:p>
    <w:p w14:paraId="6402661F" w14:textId="28580236"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Anwar et al. (2023) examined the influence of government health expenditures on health outcomes across 38 member countries of the Organisation for Economic Co-operation and Development (OECD), using panel data spanning the period from 1996 to 2020. The System Generalized Method of Moments (GMM) estimation technique was employed to analyse the data. The findings indicated that government health expenditures significantly reduced infant mortality rates and positively influenced life expectancy. Additionally, it was also found that gross domestic product (GDP), number of doctors per capita, and air pollution were all significantly associated with health outcomes. Specifically, higher GDP and a greater number of doctors were linked to lower infant mortality and higher life expectancy, whereas air pollution was associated with increased infant mortality and reduced life expectancy.</w:t>
      </w:r>
    </w:p>
    <w:p w14:paraId="5359932E" w14:textId="2E702314" w:rsidR="006A5B50" w:rsidRPr="00D245BD" w:rsidRDefault="006A5B50"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Bein and Coker-Farrell (2020) employed both fixed effects and random effects estimation techniques to analyse the effect of public and private healthcare expenditure on health status across eight (8) selected African countries, using panel data from 2000 to 2014. The findings revealed that overall healthcare spending had a statistically significant positive impact on health outcomes. Notably, public healthcare expenditure exhibited a stronger effect than private healthcare spending in reducing mortality rates and combating communicable diseases such as tuberculosis and human immunodeficiency virus (HIV). In contrast, private healthcare spending was found to be more impactful in reducing maternal mortality.</w:t>
      </w:r>
    </w:p>
    <w:p w14:paraId="7227A591" w14:textId="77777777" w:rsidR="002831BA" w:rsidRPr="00D245BD" w:rsidRDefault="002831BA" w:rsidP="001F2FF8">
      <w:pPr>
        <w:pStyle w:val="NormalWeb"/>
        <w:spacing w:after="0" w:line="360" w:lineRule="auto"/>
        <w:ind w:firstLine="720"/>
        <w:jc w:val="both"/>
        <w:rPr>
          <w:sz w:val="22"/>
          <w:szCs w:val="22"/>
        </w:rPr>
      </w:pPr>
      <w:r w:rsidRPr="00D245BD">
        <w:rPr>
          <w:sz w:val="22"/>
          <w:szCs w:val="22"/>
        </w:rPr>
        <w:t xml:space="preserve">Awoyemi et al. (2023) examine the relationship between government health expenditure and health outcomes in Nigeria using time-series data covering the period from 1995 to 2018. The study employs the </w:t>
      </w:r>
      <w:r w:rsidRPr="00D245BD">
        <w:rPr>
          <w:rStyle w:val="whitespace-normal"/>
          <w:sz w:val="22"/>
          <w:szCs w:val="22"/>
        </w:rPr>
        <w:t>Autoregressive Distributed Lag (ARDL) model</w:t>
      </w:r>
      <w:r w:rsidRPr="00D245BD">
        <w:rPr>
          <w:sz w:val="22"/>
          <w:szCs w:val="22"/>
        </w:rPr>
        <w:t xml:space="preserve"> estimation technique to analyse the data. The results indicate the presence of a long-run equilibrium relationship between government health expenditure and health outcomes in Nigeria. Specifically, the findings reveal that increased government spending on health is associated with a reduction in mortality rates, suggesting a negative relationship between health expenditure and mortality. In addition, life expectancy at birth responds positively to increases in health expenditure. </w:t>
      </w:r>
    </w:p>
    <w:p w14:paraId="1D515FF8" w14:textId="0A3DE68C"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Aziz et al. (2021) utilized both the Fully Modified Ordinary Least Squares (FMOLS) and Dynamic Ordinary Least Squares (DOLS) estimation techniques to examine the relationship between health expenditure and maternal mortality across South Asian countries, using panel data spanning from 2000 to 2017. The findings revealed that health expenditure has a positive impact on maternal mortality. Additionally, the study found that population growth exerted a statistically significant long-term positive impact on maternal mortality. In contrast, economic growth, improved sanitation, and access to clean fuel technologies were found to have significant long-term negative effects on maternal mortality. </w:t>
      </w:r>
    </w:p>
    <w:p w14:paraId="03C24D33" w14:textId="35AAA337" w:rsidR="006A5B50" w:rsidRPr="00D245BD" w:rsidRDefault="006A5B50"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Zhou et al. (2023) investigated the effect of health expenditures on health outcomes across 15 member countries of the Economic Community of West African States (ECOWAS), utilizing panel </w:t>
      </w:r>
      <w:r w:rsidRPr="00D245BD">
        <w:rPr>
          <w:rFonts w:ascii="Times New Roman" w:hAnsi="Times New Roman" w:cs="Times New Roman"/>
        </w:rPr>
        <w:lastRenderedPageBreak/>
        <w:t>data covering the period from 2001 to 2020. The study adopted the Fully Modified Ordinary Least Squares (FMOLS) technique for data analysis. The findings revealed that personal income had a statistically significant negative effect on infant mortality. Moreso, public health expenditure exhibited a statistically significant positive effect on infant mortality. In contrast, external health expenditure, private health expenditure, and gross domestic product (GDP) were all found to have a statistically significant negative effect on infant mortality.</w:t>
      </w:r>
    </w:p>
    <w:p w14:paraId="18DE012F" w14:textId="77777777"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Using the fifth, sixth, and seventh waves of the Afro barometer survey from 2011 to 2018, </w:t>
      </w:r>
      <w:proofErr w:type="spellStart"/>
      <w:r w:rsidRPr="00D245BD">
        <w:rPr>
          <w:rFonts w:ascii="Times New Roman" w:hAnsi="Times New Roman" w:cs="Times New Roman"/>
        </w:rPr>
        <w:t>Bukari</w:t>
      </w:r>
      <w:proofErr w:type="spellEnd"/>
      <w:r w:rsidRPr="00D245BD">
        <w:rPr>
          <w:rFonts w:ascii="Times New Roman" w:hAnsi="Times New Roman" w:cs="Times New Roman"/>
        </w:rPr>
        <w:t xml:space="preserve"> et al. (2024) examine how corruption may lead to healthcare deprivation in 29 Sub-Saharan African countries. The study utilized the use of an instrumental variable framework (Logit Regression) to analyse the data. The result revealed that the experience of corruption in the form of bribe payments, as well as the frequency of bribe payments within the healthcare sector, increases the likelihood of healthcare deprivation. Moreover, corruption experienced in other sectors, such as education, the police, public utilities, and identification authorities, has spill-over effects affecting healthcare deprivation. Further analysis reveals that the experience of corruption in multiple sectors simultaneously worsens healthcare deprivation. This implies that mitigating corruption in the healthcare sector alone may not be sufficient to end the adverse effects of corruption on effective healthcare access in Sub-Saharan African countries. </w:t>
      </w:r>
    </w:p>
    <w:p w14:paraId="17E02272" w14:textId="1F4B5384" w:rsidR="002831BA" w:rsidRPr="00D245BD" w:rsidRDefault="002831B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Hadipour et al. (2023) examine how institutional quality influences health system outcomes across 158 countries, both low- and high-income, from 2001 to 2020, using time series data. The study employed Fixed Effects and Generalized Method of Moments (GMM) models for data analysis. The findings indicated that better institutional quality was associated with lower infant mortality rates and higher life expectancy. Additionally, factors such as gross domestic product, average years of schooling, total health expenditure, and urbanization rate were linked to reduced infant mortality rates and increased life expectancy. In contrast, higher carbon dioxide emissions were associated with increased infant mortality rates and reduced life expectancy. </w:t>
      </w:r>
    </w:p>
    <w:p w14:paraId="27CFBB75" w14:textId="67573C70" w:rsidR="001F2FF8" w:rsidRPr="00D245BD" w:rsidRDefault="001F2FF8"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Utilizing panel data from 37 Sub-Saharan African countries spanning the period from 2007 to 2021, Awe and Abdulrahman (2024) investigated the influence of institutional frameworks, encompassing both economic and political institutions, on the quality of life in the region. The study employed the two-step System Generalized Method of Moments (GMM) estimation technique. The findings demonstrated a positive and statistically significant effect of institutional systems on quality-of-life indicators in Sub-Saharan Africa.</w:t>
      </w:r>
    </w:p>
    <w:p w14:paraId="1815DB4C" w14:textId="2188689D" w:rsidR="002831BA" w:rsidRPr="00D245BD" w:rsidRDefault="002831BA" w:rsidP="001F2FF8">
      <w:pPr>
        <w:spacing w:after="0" w:line="360" w:lineRule="auto"/>
        <w:ind w:firstLine="720"/>
        <w:jc w:val="both"/>
        <w:rPr>
          <w:rFonts w:ascii="Times New Roman" w:hAnsi="Times New Roman" w:cs="Times New Roman"/>
        </w:rPr>
      </w:pPr>
      <w:proofErr w:type="spellStart"/>
      <w:r w:rsidRPr="00D245BD">
        <w:rPr>
          <w:rFonts w:ascii="Times New Roman" w:hAnsi="Times New Roman" w:cs="Times New Roman"/>
        </w:rPr>
        <w:t>Ebeh</w:t>
      </w:r>
      <w:proofErr w:type="spellEnd"/>
      <w:r w:rsidRPr="00D245BD">
        <w:rPr>
          <w:rFonts w:ascii="Times New Roman" w:hAnsi="Times New Roman" w:cs="Times New Roman"/>
        </w:rPr>
        <w:t xml:space="preserve"> et al. (2024) employed the Auto-Regressive Distributed Lag (ARDL) model to examine the relationship between institutional quality and health outcomes in Nigeria, using time series data from 1988 to 2022. The findings confirmed the existence of a long-run equilibrium relationship between institutional quality and health outcomes in the country. Moreso, in the short run, the results indicated that government effectiveness and political stability exerted a negative and statistically significant effect </w:t>
      </w:r>
      <w:r w:rsidRPr="00D245BD">
        <w:rPr>
          <w:rFonts w:ascii="Times New Roman" w:hAnsi="Times New Roman" w:cs="Times New Roman"/>
        </w:rPr>
        <w:lastRenderedPageBreak/>
        <w:t xml:space="preserve">on the maternal mortality rate. Conversely, control of corruption demonstrated a statistically significant positive effect on life expectancy. </w:t>
      </w:r>
    </w:p>
    <w:p w14:paraId="79C14202" w14:textId="77777777" w:rsidR="00FF1482" w:rsidRPr="00D245BD" w:rsidRDefault="00FF1482" w:rsidP="001F2FF8">
      <w:pPr>
        <w:spacing w:after="0" w:line="360" w:lineRule="auto"/>
        <w:jc w:val="both"/>
        <w:rPr>
          <w:rFonts w:ascii="Times New Roman" w:eastAsia="Times New Roman" w:hAnsi="Times New Roman" w:cs="Times New Roman"/>
          <w:b/>
        </w:rPr>
      </w:pPr>
      <w:bookmarkStart w:id="1" w:name="_Hlk227151670"/>
      <w:r w:rsidRPr="00D245BD">
        <w:rPr>
          <w:rFonts w:ascii="Times New Roman" w:eastAsia="Times New Roman" w:hAnsi="Times New Roman" w:cs="Times New Roman"/>
          <w:b/>
        </w:rPr>
        <w:t>3.0 Data and Methodology</w:t>
      </w:r>
    </w:p>
    <w:p w14:paraId="060E3939" w14:textId="77777777"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This section of the study presents the type and sources of data utilized for the research, as well as the model specification and the techniques employed for data analysis.</w:t>
      </w:r>
    </w:p>
    <w:p w14:paraId="6AB5E1CC" w14:textId="77777777" w:rsidR="00FF1482" w:rsidRPr="00D245BD" w:rsidRDefault="00FF1482" w:rsidP="001F2FF8">
      <w:pPr>
        <w:spacing w:after="0" w:line="360" w:lineRule="auto"/>
        <w:jc w:val="both"/>
        <w:rPr>
          <w:rFonts w:ascii="Times New Roman" w:eastAsia="Times New Roman" w:hAnsi="Times New Roman" w:cs="Times New Roman"/>
          <w:b/>
        </w:rPr>
      </w:pPr>
      <w:r w:rsidRPr="00D245BD">
        <w:rPr>
          <w:rFonts w:ascii="Times New Roman" w:eastAsia="Times New Roman" w:hAnsi="Times New Roman" w:cs="Times New Roman"/>
          <w:b/>
        </w:rPr>
        <w:t xml:space="preserve">3.1 Source/ Method of Data Collection  </w:t>
      </w:r>
    </w:p>
    <w:p w14:paraId="5EA441C0" w14:textId="1E8CB769"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This study employed panel data to examine the interactive impact of health expenditure and institutional quality on life expectancy in Sub-Saharan Africa</w:t>
      </w:r>
      <w:r w:rsidR="00EF21CF" w:rsidRPr="00D245BD">
        <w:rPr>
          <w:rFonts w:ascii="Times New Roman" w:hAnsi="Times New Roman" w:cs="Times New Roman"/>
        </w:rPr>
        <w:t xml:space="preserve"> from </w:t>
      </w:r>
      <w:r w:rsidRPr="00D245BD">
        <w:rPr>
          <w:rFonts w:ascii="Times New Roman" w:hAnsi="Times New Roman" w:cs="Times New Roman"/>
        </w:rPr>
        <w:t>2000</w:t>
      </w:r>
      <w:r w:rsidR="00EF21CF" w:rsidRPr="00D245BD">
        <w:rPr>
          <w:rFonts w:ascii="Times New Roman" w:hAnsi="Times New Roman" w:cs="Times New Roman"/>
        </w:rPr>
        <w:t xml:space="preserve"> to </w:t>
      </w:r>
      <w:r w:rsidRPr="00D245BD">
        <w:rPr>
          <w:rFonts w:ascii="Times New Roman" w:hAnsi="Times New Roman" w:cs="Times New Roman"/>
        </w:rPr>
        <w:t>2024. The variables used include government health expenditure, private health expenditure, life expectancy and institutional quality. Institutional quality was proxied using three of the six components of the Worldwide Governance Indicators, namely government effectiveness, control of corruption, and regulatory quality. All data were obtained from the World Bank (2026) database covering the period from 2000 to 2024.</w:t>
      </w:r>
    </w:p>
    <w:p w14:paraId="5E7B3924" w14:textId="77777777" w:rsidR="00FF1482" w:rsidRPr="00D245BD" w:rsidRDefault="00FF1482" w:rsidP="001F2FF8">
      <w:pPr>
        <w:spacing w:after="0" w:line="360" w:lineRule="auto"/>
        <w:jc w:val="both"/>
        <w:rPr>
          <w:rFonts w:ascii="Times New Roman" w:eastAsia="Times New Roman" w:hAnsi="Times New Roman" w:cs="Times New Roman"/>
          <w:b/>
        </w:rPr>
      </w:pPr>
      <w:r w:rsidRPr="00D245BD">
        <w:rPr>
          <w:rFonts w:ascii="Times New Roman" w:eastAsia="Times New Roman" w:hAnsi="Times New Roman" w:cs="Times New Roman"/>
          <w:b/>
        </w:rPr>
        <w:t>3.2 Model specification</w:t>
      </w:r>
    </w:p>
    <w:p w14:paraId="384C047A" w14:textId="2472D1A9"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To examine the interactive impact of health expenditure and institutional quality on life expectancy in Sub-Saharan Africa, this study adopts the Human Capital Model developed by Michael Grossman (1972) as its theoretical foundation. The model emphasizes the dual significance of health in enhancing quality of life and promoting economic productivity. In this framework, health is viewed both as a consumption good that provides utility and as an investment good that improves human capital and productivity (Grossman, 1972). The Grossman’s human capital model can be specified as follows:</w:t>
      </w:r>
    </w:p>
    <w:p w14:paraId="57549376" w14:textId="77777777" w:rsidR="00FF1482" w:rsidRPr="00D245BD" w:rsidRDefault="00FF1482" w:rsidP="001F2FF8">
      <w:pPr>
        <w:spacing w:after="0" w:line="360" w:lineRule="auto"/>
        <w:ind w:left="360"/>
        <w:jc w:val="both"/>
        <w:rPr>
          <w:rFonts w:ascii="Times New Roman" w:eastAsiaTheme="minorEastAsia" w:hAnsi="Times New Roman" w:cs="Times New Roman"/>
        </w:rPr>
      </w:pPr>
      <m:oMath>
        <m:r>
          <w:rPr>
            <w:rFonts w:ascii="Cambria Math" w:hAnsi="Cambria Math" w:cs="Times New Roman"/>
          </w:rPr>
          <m:t>H=F(X)</m:t>
        </m:r>
      </m:oMath>
      <w:r w:rsidRPr="00D245BD">
        <w:rPr>
          <w:rFonts w:ascii="Times New Roman" w:eastAsiaTheme="minorEastAsia" w:hAnsi="Times New Roman" w:cs="Times New Roman"/>
        </w:rPr>
        <w:t xml:space="preserve"> -</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(3.1)</w:t>
      </w:r>
    </w:p>
    <w:p w14:paraId="62A9F938" w14:textId="77777777" w:rsidR="00FF1482" w:rsidRPr="00D245BD" w:rsidRDefault="00FF1482" w:rsidP="001F2FF8">
      <w:pPr>
        <w:spacing w:after="0" w:line="360" w:lineRule="auto"/>
        <w:ind w:firstLine="360"/>
        <w:jc w:val="both"/>
        <w:rPr>
          <w:rFonts w:ascii="Times New Roman" w:hAnsi="Times New Roman" w:cs="Times New Roman"/>
        </w:rPr>
      </w:pPr>
      <w:r w:rsidRPr="00D245BD">
        <w:rPr>
          <w:rFonts w:ascii="Times New Roman" w:hAnsi="Times New Roman" w:cs="Times New Roman"/>
        </w:rPr>
        <w:t>Where:</w:t>
      </w:r>
    </w:p>
    <w:p w14:paraId="2DCAD401" w14:textId="77777777" w:rsidR="00FF1482" w:rsidRPr="00D245BD" w:rsidRDefault="00FF1482" w:rsidP="001F2FF8">
      <w:pPr>
        <w:spacing w:after="0" w:line="360" w:lineRule="auto"/>
        <w:ind w:firstLine="360"/>
        <w:jc w:val="both"/>
        <w:rPr>
          <w:rFonts w:ascii="Times New Roman" w:hAnsi="Times New Roman" w:cs="Times New Roman"/>
        </w:rPr>
      </w:pPr>
      <m:oMath>
        <m:r>
          <w:rPr>
            <w:rFonts w:ascii="Cambria Math" w:hAnsi="Cambria Math" w:cs="Times New Roman"/>
          </w:rPr>
          <m:t>H</m:t>
        </m:r>
      </m:oMath>
      <w:r w:rsidRPr="00D245BD">
        <w:rPr>
          <w:rFonts w:ascii="Times New Roman" w:eastAsiaTheme="minorEastAsia" w:hAnsi="Times New Roman" w:cs="Times New Roman"/>
        </w:rPr>
        <w:t xml:space="preserve"> = Measure of the individual health (i.e., health outcome)</w:t>
      </w:r>
    </w:p>
    <w:p w14:paraId="5933EB1A" w14:textId="77777777" w:rsidR="00FF1482" w:rsidRPr="00D245BD" w:rsidRDefault="00FF1482" w:rsidP="001F2FF8">
      <w:pPr>
        <w:spacing w:after="0" w:line="360" w:lineRule="auto"/>
        <w:ind w:firstLine="360"/>
        <w:jc w:val="both"/>
        <w:rPr>
          <w:rFonts w:ascii="Times New Roman" w:hAnsi="Times New Roman" w:cs="Times New Roman"/>
        </w:rPr>
      </w:pPr>
      <m:oMath>
        <m:r>
          <w:rPr>
            <w:rFonts w:ascii="Cambria Math" w:eastAsiaTheme="minorEastAsia" w:hAnsi="Cambria Math" w:cs="Times New Roman"/>
          </w:rPr>
          <m:t>X</m:t>
        </m:r>
      </m:oMath>
      <w:r w:rsidRPr="00D245BD">
        <w:rPr>
          <w:rFonts w:ascii="Times New Roman" w:eastAsiaTheme="minorEastAsia" w:hAnsi="Times New Roman" w:cs="Times New Roman"/>
        </w:rPr>
        <w:t xml:space="preserve"> = Vector of factors that explain the health of the individual.</w:t>
      </w:r>
    </w:p>
    <w:p w14:paraId="37CF1BE3" w14:textId="267B15EB"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The Grossman Model was originally developed to examine health outcomes at the microeconomic level. However, since this study focuses on macroeconomic health outcomes, the model is extended to the macro level while retaining its theoretical foundation. Consequently, this study modifies Grossman’s model to incorporate institutional factors as an additional explanatory factor.</w:t>
      </w:r>
    </w:p>
    <w:p w14:paraId="1F6DAC55" w14:textId="3FD90D38"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h=f(Y, I)</m:t>
        </m:r>
      </m:oMath>
      <w:r w:rsidRPr="00D245BD">
        <w:rPr>
          <w:rFonts w:ascii="Times New Roman" w:eastAsiaTheme="minorEastAsia" w:hAnsi="Times New Roman" w:cs="Times New Roman"/>
        </w:rPr>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w:t>
      </w:r>
      <w:r w:rsidRPr="00D245BD">
        <w:rPr>
          <w:rFonts w:ascii="Times New Roman" w:eastAsiaTheme="minorEastAsia" w:hAnsi="Times New Roman" w:cs="Times New Roman"/>
        </w:rPr>
        <w:tab/>
        <w:t>(3.2)</w:t>
      </w:r>
    </w:p>
    <w:p w14:paraId="4D78FCB0" w14:textId="77777777" w:rsidR="00FF1482" w:rsidRPr="00D245BD" w:rsidRDefault="00FF1482" w:rsidP="001F2FF8">
      <w:pPr>
        <w:spacing w:after="0" w:line="360" w:lineRule="auto"/>
        <w:jc w:val="both"/>
        <w:rPr>
          <w:rFonts w:ascii="Times New Roman" w:eastAsiaTheme="minorEastAsia" w:hAnsi="Times New Roman" w:cs="Times New Roman"/>
        </w:rPr>
      </w:pPr>
      <w:r w:rsidRPr="00D245BD">
        <w:rPr>
          <w:rFonts w:ascii="Times New Roman" w:eastAsiaTheme="minorEastAsia" w:hAnsi="Times New Roman" w:cs="Times New Roman"/>
        </w:rPr>
        <w:t>where:</w:t>
      </w:r>
    </w:p>
    <w:p w14:paraId="3582D48A" w14:textId="77777777"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h</m:t>
        </m:r>
      </m:oMath>
      <w:r w:rsidRPr="00D245BD">
        <w:rPr>
          <w:rFonts w:ascii="Times New Roman" w:eastAsiaTheme="minorEastAsia" w:hAnsi="Times New Roman" w:cs="Times New Roman"/>
        </w:rPr>
        <w:t xml:space="preserve"> = Population health (Health outcome)</w:t>
      </w:r>
    </w:p>
    <w:p w14:paraId="77207B7C" w14:textId="77777777"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Y</m:t>
        </m:r>
      </m:oMath>
      <w:r w:rsidRPr="00D245BD">
        <w:rPr>
          <w:rFonts w:ascii="Times New Roman" w:eastAsiaTheme="minorEastAsia" w:hAnsi="Times New Roman" w:cs="Times New Roman"/>
        </w:rPr>
        <w:t xml:space="preserve"> = Vector of economic factors.</w:t>
      </w:r>
    </w:p>
    <w:p w14:paraId="6CFD4894" w14:textId="77777777" w:rsidR="00FF1482" w:rsidRPr="00D245BD" w:rsidRDefault="00FF1482" w:rsidP="001F2FF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I</m:t>
        </m:r>
      </m:oMath>
      <w:r w:rsidRPr="00D245BD">
        <w:rPr>
          <w:rFonts w:ascii="Times New Roman" w:eastAsiaTheme="minorEastAsia" w:hAnsi="Times New Roman" w:cs="Times New Roman"/>
        </w:rPr>
        <w:t xml:space="preserve"> = Vector of Institutional quality factors.</w:t>
      </w:r>
    </w:p>
    <w:p w14:paraId="4BD65299" w14:textId="2BA21910" w:rsidR="00FF1482" w:rsidRPr="00D245BD" w:rsidRDefault="00A123F1"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rPr>
        <w:t>Health</w:t>
      </w:r>
      <w:r w:rsidR="00FF1482" w:rsidRPr="00D245BD">
        <w:rPr>
          <w:rFonts w:ascii="Times New Roman" w:eastAsiaTheme="minorEastAsia" w:hAnsi="Times New Roman" w:cs="Times New Roman"/>
        </w:rPr>
        <w:t xml:space="preserve"> expenditure (</w:t>
      </w:r>
      <m:oMath>
        <m:r>
          <w:rPr>
            <w:rFonts w:ascii="Cambria Math" w:eastAsiaTheme="minorEastAsia" w:hAnsi="Cambria Math" w:cs="Times New Roman"/>
          </w:rPr>
          <m:t>Y</m:t>
        </m:r>
      </m:oMath>
      <w:r w:rsidR="00FF1482" w:rsidRPr="00D245BD">
        <w:rPr>
          <w:rFonts w:ascii="Times New Roman" w:eastAsiaTheme="minorEastAsia" w:hAnsi="Times New Roman" w:cs="Times New Roman"/>
        </w:rPr>
        <w:t>) is measured by the</w:t>
      </w:r>
      <w:r w:rsidR="00FF1482" w:rsidRPr="00D245BD">
        <w:rPr>
          <w:rFonts w:ascii="Times New Roman" w:hAnsi="Times New Roman" w:cs="Times New Roman"/>
        </w:rPr>
        <w:t xml:space="preserve"> government health expenditure and private health expenditure</w:t>
      </w:r>
      <w:r w:rsidR="00F6698B" w:rsidRPr="00D245BD">
        <w:rPr>
          <w:rFonts w:ascii="Times New Roman" w:hAnsi="Times New Roman" w:cs="Times New Roman"/>
        </w:rPr>
        <w:t>,</w:t>
      </w:r>
      <w:r w:rsidR="00FF1482" w:rsidRPr="00D245BD">
        <w:rPr>
          <w:rFonts w:ascii="Times New Roman" w:hAnsi="Times New Roman" w:cs="Times New Roman"/>
        </w:rPr>
        <w:t xml:space="preserve"> institutional qualities (</w:t>
      </w:r>
      <m:oMath>
        <m:r>
          <w:rPr>
            <w:rFonts w:ascii="Cambria Math" w:eastAsiaTheme="minorEastAsia" w:hAnsi="Cambria Math" w:cs="Times New Roman"/>
          </w:rPr>
          <m:t>I</m:t>
        </m:r>
      </m:oMath>
      <w:r w:rsidR="00FF1482" w:rsidRPr="00D245BD">
        <w:rPr>
          <w:rFonts w:ascii="Times New Roman" w:eastAsiaTheme="minorEastAsia" w:hAnsi="Times New Roman" w:cs="Times New Roman"/>
        </w:rPr>
        <w:t>) is pr</w:t>
      </w:r>
      <w:proofErr w:type="spellStart"/>
      <w:r w:rsidR="00FF1482" w:rsidRPr="00D245BD">
        <w:rPr>
          <w:rFonts w:ascii="Times New Roman" w:eastAsiaTheme="minorEastAsia" w:hAnsi="Times New Roman" w:cs="Times New Roman"/>
        </w:rPr>
        <w:t>oxied</w:t>
      </w:r>
      <w:proofErr w:type="spellEnd"/>
      <w:r w:rsidR="00FF1482" w:rsidRPr="00D245BD">
        <w:rPr>
          <w:rFonts w:ascii="Times New Roman" w:eastAsiaTheme="minorEastAsia" w:hAnsi="Times New Roman" w:cs="Times New Roman"/>
        </w:rPr>
        <w:t xml:space="preserve"> by three (3) out of six (6) Worldwide governance indicators, namely; government effectiveness, control of corruption, and regulatory </w:t>
      </w:r>
      <w:r w:rsidR="00F6698B" w:rsidRPr="00D245BD">
        <w:rPr>
          <w:rFonts w:ascii="Times New Roman" w:eastAsiaTheme="minorEastAsia" w:hAnsi="Times New Roman" w:cs="Times New Roman"/>
        </w:rPr>
        <w:t>quality</w:t>
      </w:r>
      <w:r w:rsidR="00FF1482" w:rsidRPr="00D245BD">
        <w:rPr>
          <w:rFonts w:ascii="Times New Roman" w:eastAsiaTheme="minorEastAsia" w:hAnsi="Times New Roman" w:cs="Times New Roman"/>
        </w:rPr>
        <w:t>, while (</w:t>
      </w:r>
      <w:r w:rsidR="00FF1482" w:rsidRPr="00D245BD">
        <w:rPr>
          <w:rFonts w:ascii="Times New Roman" w:eastAsiaTheme="minorEastAsia" w:hAnsi="Times New Roman" w:cs="Times New Roman"/>
          <w:i/>
          <w:iCs/>
        </w:rPr>
        <w:t>h</w:t>
      </w:r>
      <w:r w:rsidR="00FF1482" w:rsidRPr="00D245BD">
        <w:rPr>
          <w:rFonts w:ascii="Times New Roman" w:eastAsiaTheme="minorEastAsia" w:hAnsi="Times New Roman" w:cs="Times New Roman"/>
        </w:rPr>
        <w:t xml:space="preserve">) is </w:t>
      </w:r>
      <w:r w:rsidR="00F6698B" w:rsidRPr="00D245BD">
        <w:rPr>
          <w:rFonts w:ascii="Times New Roman" w:eastAsiaTheme="minorEastAsia" w:hAnsi="Times New Roman" w:cs="Times New Roman"/>
        </w:rPr>
        <w:t>life expectancy</w:t>
      </w:r>
    </w:p>
    <w:p w14:paraId="782B82BB" w14:textId="4C7AB622" w:rsidR="00FF1482" w:rsidRPr="00D245BD" w:rsidRDefault="00FF1482"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lastRenderedPageBreak/>
        <w:t xml:space="preserve">This study, therefore, adapt </w:t>
      </w:r>
      <w:r w:rsidR="00E22B62" w:rsidRPr="00D245BD">
        <w:rPr>
          <w:rFonts w:ascii="Times New Roman" w:hAnsi="Times New Roman" w:cs="Times New Roman"/>
        </w:rPr>
        <w:t>Hadipour et al. (2023)</w:t>
      </w:r>
      <w:r w:rsidRPr="00D245BD">
        <w:rPr>
          <w:rFonts w:ascii="Times New Roman" w:hAnsi="Times New Roman" w:cs="Times New Roman"/>
        </w:rPr>
        <w:t xml:space="preserve"> model, in order to investigates the</w:t>
      </w:r>
      <w:r w:rsidR="00E22B62" w:rsidRPr="00D245BD">
        <w:rPr>
          <w:rFonts w:ascii="Times New Roman" w:hAnsi="Times New Roman" w:cs="Times New Roman"/>
        </w:rPr>
        <w:t xml:space="preserve"> interactive</w:t>
      </w:r>
      <w:r w:rsidRPr="00D245BD">
        <w:rPr>
          <w:rFonts w:ascii="Times New Roman" w:hAnsi="Times New Roman" w:cs="Times New Roman"/>
        </w:rPr>
        <w:t xml:space="preserve"> impact of health expenditure and institutional qualities on </w:t>
      </w:r>
      <w:r w:rsidR="00E22B62" w:rsidRPr="00D245BD">
        <w:rPr>
          <w:rFonts w:ascii="Times New Roman" w:hAnsi="Times New Roman" w:cs="Times New Roman"/>
        </w:rPr>
        <w:t>life expectancy</w:t>
      </w:r>
      <w:r w:rsidRPr="00D245BD">
        <w:rPr>
          <w:rFonts w:ascii="Times New Roman" w:hAnsi="Times New Roman" w:cs="Times New Roman"/>
        </w:rPr>
        <w:t xml:space="preserve"> in Sub-Saharan Africa. The functional relationship of equation (3.2) can be given as:</w:t>
      </w:r>
    </w:p>
    <w:p w14:paraId="38434741" w14:textId="46132C73" w:rsidR="00FF1482" w:rsidRPr="00D245BD" w:rsidRDefault="00E22B62" w:rsidP="001F2FF8">
      <w:pPr>
        <w:spacing w:after="0" w:line="360" w:lineRule="auto"/>
        <w:jc w:val="both"/>
        <w:rPr>
          <w:rFonts w:ascii="Times New Roman" w:eastAsiaTheme="minorEastAsia" w:hAnsi="Times New Roman" w:cs="Times New Roman"/>
        </w:rPr>
      </w:pPr>
      <m:oMath>
        <m:r>
          <w:rPr>
            <w:rFonts w:ascii="Cambria Math" w:hAnsi="Cambria Math" w:cs="Times New Roman"/>
          </w:rPr>
          <m:t>LEX=f(GHEX, PHEX,GEF, COC,REQ)</m:t>
        </m:r>
      </m:oMath>
      <w:r w:rsidR="00FF1482" w:rsidRPr="00D245BD">
        <w:rPr>
          <w:rFonts w:ascii="Times New Roman" w:eastAsiaTheme="minorEastAsia" w:hAnsi="Times New Roman" w:cs="Times New Roman"/>
        </w:rPr>
        <w:t xml:space="preserve"> -</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t>-</w:t>
      </w:r>
      <w:r w:rsidR="00FF1482" w:rsidRPr="00D245BD">
        <w:rPr>
          <w:rFonts w:ascii="Times New Roman" w:eastAsiaTheme="minorEastAsia" w:hAnsi="Times New Roman" w:cs="Times New Roman"/>
        </w:rPr>
        <w:tab/>
      </w:r>
      <w:r w:rsidRPr="00D245BD">
        <w:rPr>
          <w:rFonts w:ascii="Times New Roman" w:eastAsiaTheme="minorEastAsia" w:hAnsi="Times New Roman" w:cs="Times New Roman"/>
        </w:rPr>
        <w:t>-</w:t>
      </w:r>
      <w:r w:rsidRPr="00D245BD">
        <w:rPr>
          <w:rFonts w:ascii="Times New Roman" w:eastAsiaTheme="minorEastAsia" w:hAnsi="Times New Roman" w:cs="Times New Roman"/>
        </w:rPr>
        <w:tab/>
      </w:r>
      <w:r w:rsidR="00FF1482" w:rsidRPr="00D245BD">
        <w:rPr>
          <w:rFonts w:ascii="Times New Roman" w:eastAsiaTheme="minorEastAsia" w:hAnsi="Times New Roman" w:cs="Times New Roman"/>
        </w:rPr>
        <w:t>(3.3)</w:t>
      </w:r>
    </w:p>
    <w:p w14:paraId="08116441" w14:textId="24E167B8"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rPr>
        <w:t xml:space="preserve">Where </w:t>
      </w:r>
      <m:oMath>
        <m:r>
          <w:rPr>
            <w:rFonts w:ascii="Cambria Math" w:eastAsiaTheme="minorEastAsia" w:hAnsi="Cambria Math" w:cs="Times New Roman"/>
          </w:rPr>
          <m:t>LEX</m:t>
        </m:r>
      </m:oMath>
      <w:r w:rsidRPr="00D245BD">
        <w:rPr>
          <w:rFonts w:ascii="Times New Roman" w:eastAsiaTheme="minorEastAsia" w:hAnsi="Times New Roman" w:cs="Times New Roman"/>
        </w:rPr>
        <w:t xml:space="preserve"> is </w:t>
      </w:r>
      <w:r w:rsidR="00E22B62" w:rsidRPr="00D245BD">
        <w:rPr>
          <w:rFonts w:ascii="Times New Roman" w:eastAsiaTheme="minorEastAsia" w:hAnsi="Times New Roman" w:cs="Times New Roman"/>
        </w:rPr>
        <w:t>life expectancy</w:t>
      </w:r>
      <w:r w:rsidRPr="00D245BD">
        <w:rPr>
          <w:rFonts w:ascii="Times New Roman" w:eastAsiaTheme="minorEastAsia" w:hAnsi="Times New Roman" w:cs="Times New Roman"/>
        </w:rPr>
        <w:t xml:space="preserve">; </w:t>
      </w:r>
      <m:oMath>
        <m:r>
          <w:rPr>
            <w:rFonts w:ascii="Cambria Math" w:eastAsiaTheme="minorEastAsia" w:hAnsi="Cambria Math" w:cs="Times New Roman"/>
          </w:rPr>
          <m:t>GHEX</m:t>
        </m:r>
      </m:oMath>
      <w:r w:rsidRPr="00D245BD">
        <w:rPr>
          <w:rFonts w:ascii="Times New Roman" w:eastAsiaTheme="minorEastAsia" w:hAnsi="Times New Roman" w:cs="Times New Roman"/>
        </w:rPr>
        <w:t xml:space="preserve"> is government health expenditure; </w:t>
      </w:r>
      <m:oMath>
        <m:r>
          <w:rPr>
            <w:rFonts w:ascii="Cambria Math" w:hAnsi="Cambria Math" w:cs="Times New Roman"/>
          </w:rPr>
          <m:t>PHEX</m:t>
        </m:r>
      </m:oMath>
      <w:r w:rsidRPr="00D245BD">
        <w:rPr>
          <w:rFonts w:ascii="Times New Roman" w:eastAsiaTheme="minorEastAsia" w:hAnsi="Times New Roman" w:cs="Times New Roman"/>
        </w:rPr>
        <w:t xml:space="preserve"> is private health expenditure; </w:t>
      </w:r>
      <m:oMath>
        <m:r>
          <w:rPr>
            <w:rFonts w:ascii="Cambria Math" w:eastAsiaTheme="minorEastAsia" w:hAnsi="Cambria Math" w:cs="Times New Roman"/>
          </w:rPr>
          <m:t>GEF</m:t>
        </m:r>
      </m:oMath>
      <w:r w:rsidRPr="00D245BD">
        <w:rPr>
          <w:rFonts w:ascii="Times New Roman" w:eastAsiaTheme="minorEastAsia" w:hAnsi="Times New Roman" w:cs="Times New Roman"/>
        </w:rPr>
        <w:t xml:space="preserve"> is government effectiveness; </w:t>
      </w:r>
      <m:oMath>
        <m:r>
          <w:rPr>
            <w:rFonts w:ascii="Cambria Math" w:eastAsiaTheme="minorEastAsia" w:hAnsi="Cambria Math" w:cs="Times New Roman"/>
          </w:rPr>
          <m:t>COC</m:t>
        </m:r>
      </m:oMath>
      <w:r w:rsidRPr="00D245BD">
        <w:rPr>
          <w:rFonts w:ascii="Times New Roman" w:eastAsiaTheme="minorEastAsia" w:hAnsi="Times New Roman" w:cs="Times New Roman"/>
        </w:rPr>
        <w:t xml:space="preserve"> is control of corruption and </w:t>
      </w:r>
      <m:oMath>
        <m:r>
          <w:rPr>
            <w:rFonts w:ascii="Cambria Math" w:eastAsiaTheme="minorEastAsia" w:hAnsi="Cambria Math" w:cs="Times New Roman"/>
          </w:rPr>
          <m:t>REQ</m:t>
        </m:r>
      </m:oMath>
      <w:r w:rsidRPr="00D245BD">
        <w:rPr>
          <w:rFonts w:ascii="Times New Roman" w:eastAsiaTheme="minorEastAsia" w:hAnsi="Times New Roman" w:cs="Times New Roman"/>
        </w:rPr>
        <w:t xml:space="preserve"> is </w:t>
      </w:r>
      <w:r w:rsidR="00E22B62" w:rsidRPr="00D245BD">
        <w:rPr>
          <w:rFonts w:ascii="Times New Roman" w:eastAsiaTheme="minorEastAsia" w:hAnsi="Times New Roman" w:cs="Times New Roman"/>
        </w:rPr>
        <w:t>regulatory</w:t>
      </w:r>
      <w:r w:rsidRPr="00D245BD">
        <w:rPr>
          <w:rFonts w:ascii="Times New Roman" w:eastAsiaTheme="minorEastAsia" w:hAnsi="Times New Roman" w:cs="Times New Roman"/>
        </w:rPr>
        <w:t xml:space="preserve"> quality</w:t>
      </w:r>
    </w:p>
    <w:p w14:paraId="1E3FCAB6" w14:textId="251D07D6" w:rsidR="00FF1482" w:rsidRPr="00D245BD" w:rsidRDefault="00FF1482" w:rsidP="001F2FF8">
      <w:pPr>
        <w:spacing w:after="0" w:line="360" w:lineRule="auto"/>
        <w:jc w:val="both"/>
        <w:rPr>
          <w:rFonts w:ascii="Times New Roman" w:hAnsi="Times New Roman" w:cs="Times New Roman"/>
        </w:rPr>
      </w:pPr>
      <w:r w:rsidRPr="00D245BD">
        <w:rPr>
          <w:rFonts w:ascii="Times New Roman" w:hAnsi="Times New Roman" w:cs="Times New Roman"/>
        </w:rPr>
        <w:t xml:space="preserve">While the econometric model of equation </w:t>
      </w:r>
      <w:r w:rsidR="00E22B62" w:rsidRPr="00D245BD">
        <w:rPr>
          <w:rFonts w:ascii="Times New Roman" w:hAnsi="Times New Roman" w:cs="Times New Roman"/>
        </w:rPr>
        <w:t>(</w:t>
      </w:r>
      <w:r w:rsidRPr="00D245BD">
        <w:rPr>
          <w:rFonts w:ascii="Times New Roman" w:hAnsi="Times New Roman" w:cs="Times New Roman"/>
        </w:rPr>
        <w:t>3.</w:t>
      </w:r>
      <w:r w:rsidR="00E22B62" w:rsidRPr="00D245BD">
        <w:rPr>
          <w:rFonts w:ascii="Times New Roman" w:hAnsi="Times New Roman" w:cs="Times New Roman"/>
        </w:rPr>
        <w:t>3)</w:t>
      </w:r>
      <w:r w:rsidRPr="00D245BD">
        <w:rPr>
          <w:rFonts w:ascii="Times New Roman" w:hAnsi="Times New Roman" w:cs="Times New Roman"/>
        </w:rPr>
        <w:t xml:space="preserve"> is given as:</w:t>
      </w:r>
    </w:p>
    <w:bookmarkStart w:id="2" w:name="_Hlk225331077"/>
    <w:p w14:paraId="5FA79E6D" w14:textId="168D1923"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5</m:t>
            </m:r>
          </m:sub>
        </m:sSub>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6</m:t>
            </m:r>
          </m:sub>
        </m:sSub>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7</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8</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9</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10</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11</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12</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e>
        </m:d>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13</m:t>
                </m:r>
              </m:sub>
            </m:sSub>
            <m:r>
              <w:rPr>
                <w:rFonts w:ascii="Cambria Math" w:hAnsi="Cambria Math" w:cs="Times New Roman"/>
              </w:rPr>
              <m:t>φ</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w:t>
      </w:r>
      <w:r w:rsidR="00AD4FC8" w:rsidRPr="00D245BD">
        <w:rPr>
          <w:rFonts w:ascii="Times New Roman" w:eastAsiaTheme="minorEastAsia" w:hAnsi="Times New Roman" w:cs="Times New Roman"/>
        </w:rPr>
        <w:tab/>
        <w:t>-</w:t>
      </w:r>
      <w:r w:rsidR="00AD4FC8" w:rsidRPr="00D245BD">
        <w:rPr>
          <w:rFonts w:ascii="Times New Roman" w:eastAsiaTheme="minorEastAsia" w:hAnsi="Times New Roman" w:cs="Times New Roman"/>
        </w:rPr>
        <w:tab/>
        <w:t>-</w:t>
      </w:r>
      <w:r w:rsidR="00AD4FC8" w:rsidRPr="00D245BD">
        <w:rPr>
          <w:rFonts w:ascii="Times New Roman" w:eastAsiaTheme="minorEastAsia" w:hAnsi="Times New Roman" w:cs="Times New Roman"/>
        </w:rPr>
        <w:tab/>
        <w:t>(3.4)</w:t>
      </w:r>
    </w:p>
    <w:bookmarkEnd w:id="2"/>
    <w:p w14:paraId="3C759EA7" w14:textId="77777777" w:rsidR="00AD4FC8" w:rsidRPr="00D245BD" w:rsidRDefault="00AD4FC8" w:rsidP="00AD4FC8">
      <w:pPr>
        <w:spacing w:after="0" w:line="360" w:lineRule="auto"/>
        <w:jc w:val="both"/>
        <w:rPr>
          <w:rFonts w:ascii="Times New Roman" w:eastAsiaTheme="minorEastAsia" w:hAnsi="Times New Roman" w:cs="Times New Roman"/>
        </w:rPr>
      </w:pPr>
      <w:r w:rsidRPr="00D245BD">
        <w:rPr>
          <w:rFonts w:ascii="Times New Roman" w:eastAsiaTheme="minorEastAsia" w:hAnsi="Times New Roman" w:cs="Times New Roman"/>
        </w:rPr>
        <w:t xml:space="preserve">Where: </w:t>
      </w:r>
    </w:p>
    <w:p w14:paraId="07544B75" w14:textId="77777777" w:rsidR="00AD4FC8" w:rsidRPr="00D245BD" w:rsidRDefault="00AD4FC8" w:rsidP="00AD4FC8">
      <w:pPr>
        <w:spacing w:after="0" w:line="360" w:lineRule="auto"/>
        <w:jc w:val="both"/>
        <w:rPr>
          <w:rFonts w:ascii="Times New Roman" w:hAnsi="Times New Roman" w:cs="Times New Roman"/>
        </w:rPr>
      </w:pPr>
      <m:oMath>
        <m:r>
          <w:rPr>
            <w:rFonts w:ascii="Cambria Math" w:hAnsi="Cambria Math" w:cs="Times New Roman"/>
          </w:rPr>
          <m:t>LEX</m:t>
        </m:r>
      </m:oMath>
      <w:r w:rsidRPr="00D245BD">
        <w:rPr>
          <w:rFonts w:ascii="Times New Roman" w:hAnsi="Times New Roman" w:cs="Times New Roman"/>
        </w:rPr>
        <w:t xml:space="preserve"> = Life expectancy proxy for health outcome</w:t>
      </w:r>
    </w:p>
    <w:p w14:paraId="47DF725D" w14:textId="77777777" w:rsidR="00AD4FC8" w:rsidRPr="00D245BD" w:rsidRDefault="00000000" w:rsidP="00AD4FC8">
      <w:pPr>
        <w:spacing w:after="0"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it-1</m:t>
            </m:r>
          </m:sub>
        </m:sSub>
      </m:oMath>
      <w:r w:rsidR="00AD4FC8" w:rsidRPr="00D245BD">
        <w:rPr>
          <w:rFonts w:ascii="Times New Roman" w:eastAsiaTheme="minorEastAsia" w:hAnsi="Times New Roman" w:cs="Times New Roman"/>
        </w:rPr>
        <w:t xml:space="preserve"> = The lagged life expectancy</w:t>
      </w:r>
    </w:p>
    <w:p w14:paraId="62332FBA"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hAnsi="Cambria Math" w:cs="Times New Roman"/>
          </w:rPr>
          <m:t>GHEX</m:t>
        </m:r>
      </m:oMath>
      <w:r w:rsidRPr="00D245BD">
        <w:rPr>
          <w:rFonts w:ascii="Times New Roman" w:eastAsiaTheme="minorEastAsia" w:hAnsi="Times New Roman" w:cs="Times New Roman"/>
        </w:rPr>
        <w:t xml:space="preserve"> = Government health expenditure</w:t>
      </w:r>
    </w:p>
    <w:p w14:paraId="60BAD985"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hAnsi="Cambria Math" w:cs="Times New Roman"/>
          </w:rPr>
          <m:t>PHEX</m:t>
        </m:r>
      </m:oMath>
      <w:r w:rsidRPr="00D245BD">
        <w:rPr>
          <w:rFonts w:ascii="Times New Roman" w:eastAsiaTheme="minorEastAsia" w:hAnsi="Times New Roman" w:cs="Times New Roman"/>
        </w:rPr>
        <w:t xml:space="preserve"> = Private health expenditure</w:t>
      </w:r>
    </w:p>
    <w:p w14:paraId="7B37B32E"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GEF</m:t>
        </m:r>
      </m:oMath>
      <w:r w:rsidRPr="00D245BD">
        <w:rPr>
          <w:rFonts w:ascii="Times New Roman" w:eastAsiaTheme="minorEastAsia" w:hAnsi="Times New Roman" w:cs="Times New Roman"/>
        </w:rPr>
        <w:t xml:space="preserve"> = Government effectiveness</w:t>
      </w:r>
    </w:p>
    <w:p w14:paraId="22E1F32F"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COC</m:t>
        </m:r>
      </m:oMath>
      <w:r w:rsidRPr="00D245BD">
        <w:rPr>
          <w:rFonts w:ascii="Times New Roman" w:eastAsiaTheme="minorEastAsia" w:hAnsi="Times New Roman" w:cs="Times New Roman"/>
        </w:rPr>
        <w:t xml:space="preserve"> = Control of corruption</w:t>
      </w:r>
    </w:p>
    <w:p w14:paraId="513B1522" w14:textId="77777777" w:rsidR="00AD4FC8" w:rsidRPr="00D245BD" w:rsidRDefault="00AD4FC8" w:rsidP="00AD4FC8">
      <w:pPr>
        <w:spacing w:after="0" w:line="360" w:lineRule="auto"/>
        <w:jc w:val="both"/>
        <w:rPr>
          <w:rFonts w:ascii="Times New Roman" w:eastAsiaTheme="minorEastAsia" w:hAnsi="Times New Roman" w:cs="Times New Roman"/>
        </w:rPr>
      </w:pPr>
      <m:oMath>
        <m:r>
          <w:rPr>
            <w:rFonts w:ascii="Cambria Math" w:eastAsiaTheme="minorEastAsia" w:hAnsi="Cambria Math" w:cs="Times New Roman"/>
          </w:rPr>
          <m:t>REQ</m:t>
        </m:r>
      </m:oMath>
      <w:r w:rsidRPr="00D245BD">
        <w:rPr>
          <w:rFonts w:ascii="Times New Roman" w:eastAsiaTheme="minorEastAsia" w:hAnsi="Times New Roman" w:cs="Times New Roman"/>
        </w:rPr>
        <w:t xml:space="preserve"> = Regulatory quality</w:t>
      </w:r>
    </w:p>
    <w:p w14:paraId="62A6A8FE"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government expenditure and government effectiveness</w:t>
      </w:r>
    </w:p>
    <w:p w14:paraId="2EAE0AD7"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government expendit</w:t>
      </w:r>
      <w:proofErr w:type="spellStart"/>
      <w:r w:rsidR="00AD4FC8" w:rsidRPr="00D245BD">
        <w:rPr>
          <w:rFonts w:ascii="Times New Roman" w:eastAsiaTheme="minorEastAsia" w:hAnsi="Times New Roman" w:cs="Times New Roman"/>
        </w:rPr>
        <w:t>ure</w:t>
      </w:r>
      <w:proofErr w:type="spellEnd"/>
      <w:r w:rsidR="00AD4FC8" w:rsidRPr="00D245BD">
        <w:rPr>
          <w:rFonts w:ascii="Times New Roman" w:eastAsiaTheme="minorEastAsia" w:hAnsi="Times New Roman" w:cs="Times New Roman"/>
        </w:rPr>
        <w:t xml:space="preserve"> and control of corruption</w:t>
      </w:r>
    </w:p>
    <w:p w14:paraId="65E2A987"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GHEX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government expenditure and regulatory quality.</w:t>
      </w:r>
    </w:p>
    <w:p w14:paraId="438E8E90"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GEF</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private health expenditure and government effectiveness.</w:t>
      </w:r>
    </w:p>
    <w:p w14:paraId="4F000114"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COC</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w:t>
      </w:r>
      <w:proofErr w:type="spellStart"/>
      <w:r w:rsidR="00AD4FC8" w:rsidRPr="00D245BD">
        <w:rPr>
          <w:rFonts w:ascii="Times New Roman" w:eastAsiaTheme="minorEastAsia" w:hAnsi="Times New Roman" w:cs="Times New Roman"/>
        </w:rPr>
        <w:t>raction</w:t>
      </w:r>
      <w:proofErr w:type="spellEnd"/>
      <w:r w:rsidR="00AD4FC8" w:rsidRPr="00D245BD">
        <w:rPr>
          <w:rFonts w:ascii="Times New Roman" w:eastAsiaTheme="minorEastAsia" w:hAnsi="Times New Roman" w:cs="Times New Roman"/>
        </w:rPr>
        <w:t xml:space="preserve"> between private health expenditure and control of corruption.</w:t>
      </w:r>
    </w:p>
    <w:p w14:paraId="4E364324"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PHEX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REQ</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Interaction between private health expenditure and regulatory quality.</w:t>
      </w:r>
    </w:p>
    <w:p w14:paraId="12BAA4FB"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oMath>
      <w:r w:rsidR="00AD4FC8" w:rsidRPr="00D245BD">
        <w:rPr>
          <w:rFonts w:ascii="Times New Roman" w:eastAsiaTheme="minorEastAsia" w:hAnsi="Times New Roman" w:cs="Times New Roman"/>
        </w:rPr>
        <w:t xml:space="preserve"> = Intercept or constant </w:t>
      </w:r>
    </w:p>
    <w:p w14:paraId="1D57F00D"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oMath>
      <w:r w:rsidR="00AD4FC8" w:rsidRPr="00D245BD">
        <w:rPr>
          <w:rFonts w:ascii="Times New Roman" w:eastAsiaTheme="minorEastAsia"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13</m:t>
            </m:r>
          </m:sub>
        </m:sSub>
      </m:oMath>
      <w:r w:rsidR="00AD4FC8" w:rsidRPr="00D245BD">
        <w:rPr>
          <w:rFonts w:ascii="Times New Roman" w:eastAsiaTheme="minorEastAsia" w:hAnsi="Times New Roman" w:cs="Times New Roman"/>
        </w:rPr>
        <w:t xml:space="preserve"> = Coefficient of the independent variables</w:t>
      </w:r>
    </w:p>
    <w:p w14:paraId="51A0E568" w14:textId="77777777" w:rsidR="00AD4FC8" w:rsidRPr="00D245BD" w:rsidRDefault="00000000" w:rsidP="00AD4FC8">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 Vectors of dummy variable from 2000 to 2024</w:t>
      </w:r>
    </w:p>
    <w:p w14:paraId="248DB9F3" w14:textId="77777777" w:rsidR="00AD4FC8" w:rsidRPr="00D245BD" w:rsidRDefault="00AD4FC8" w:rsidP="00AD4FC8">
      <w:pPr>
        <w:spacing w:after="0" w:line="360" w:lineRule="auto"/>
        <w:jc w:val="both"/>
        <w:rPr>
          <w:rFonts w:ascii="Times New Roman" w:hAnsi="Times New Roman" w:cs="Times New Roman"/>
        </w:rPr>
      </w:pPr>
      <m:oMath>
        <m:r>
          <w:rPr>
            <w:rFonts w:ascii="Cambria Math" w:hAnsi="Cambria Math" w:cs="Times New Roman"/>
          </w:rPr>
          <m:t>i</m:t>
        </m:r>
      </m:oMath>
      <w:r w:rsidRPr="00D245BD">
        <w:rPr>
          <w:rFonts w:ascii="Times New Roman" w:eastAsiaTheme="minorEastAsia" w:hAnsi="Times New Roman" w:cs="Times New Roman"/>
        </w:rPr>
        <w:t xml:space="preserve"> and </w:t>
      </w:r>
      <m:oMath>
        <m:r>
          <w:rPr>
            <w:rFonts w:ascii="Cambria Math" w:eastAsiaTheme="minorEastAsia" w:hAnsi="Cambria Math" w:cs="Times New Roman"/>
          </w:rPr>
          <m:t>t</m:t>
        </m:r>
      </m:oMath>
      <w:r w:rsidRPr="00D245BD">
        <w:rPr>
          <w:rFonts w:ascii="Times New Roman" w:hAnsi="Times New Roman" w:cs="Times New Roman"/>
        </w:rPr>
        <w:t xml:space="preserve"> = Country and time period, respectively </w:t>
      </w:r>
    </w:p>
    <w:p w14:paraId="6C2359B8" w14:textId="77777777" w:rsidR="00AD4FC8" w:rsidRPr="00D245BD" w:rsidRDefault="00000000" w:rsidP="00AD4FC8">
      <w:pPr>
        <w:spacing w:after="0"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m:t>
            </m:r>
          </m:sub>
        </m:sSub>
      </m:oMath>
      <w:r w:rsidR="00AD4FC8" w:rsidRPr="00D245BD">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AD4FC8" w:rsidRPr="00D245BD">
        <w:rPr>
          <w:rFonts w:ascii="Times New Roman" w:eastAsiaTheme="minorEastAsia" w:hAnsi="Times New Roman" w:cs="Times New Roman"/>
        </w:rPr>
        <w:t xml:space="preserve"> =</w:t>
      </w:r>
      <w:r w:rsidR="00AD4FC8" w:rsidRPr="00D245BD">
        <w:rPr>
          <w:rFonts w:ascii="Times New Roman" w:hAnsi="Times New Roman" w:cs="Times New Roman"/>
        </w:rPr>
        <w:t xml:space="preserve"> Country-specific effects and the error term, respectively</w:t>
      </w:r>
    </w:p>
    <w:p w14:paraId="3CB68C42" w14:textId="77777777" w:rsidR="00FF1482" w:rsidRPr="00D245BD" w:rsidRDefault="00FF1482" w:rsidP="001F2FF8">
      <w:pPr>
        <w:spacing w:after="0" w:line="360" w:lineRule="auto"/>
        <w:jc w:val="both"/>
        <w:rPr>
          <w:rFonts w:ascii="Times New Roman" w:eastAsia="Times New Roman" w:hAnsi="Times New Roman" w:cs="Times New Roman"/>
        </w:rPr>
      </w:pPr>
      <w:r w:rsidRPr="00D245BD">
        <w:rPr>
          <w:rFonts w:ascii="Times New Roman" w:eastAsia="Times New Roman" w:hAnsi="Times New Roman" w:cs="Times New Roman"/>
          <w:b/>
        </w:rPr>
        <w:t xml:space="preserve">3.3 Expected outcomes  </w:t>
      </w:r>
    </w:p>
    <w:p w14:paraId="422F903A" w14:textId="354A1E9C" w:rsidR="00FF1482" w:rsidRPr="00D245BD" w:rsidRDefault="00FF1482" w:rsidP="001F2FF8">
      <w:pPr>
        <w:pStyle w:val="NormalWeb"/>
        <w:spacing w:after="0" w:line="360" w:lineRule="auto"/>
        <w:ind w:firstLine="720"/>
        <w:jc w:val="both"/>
        <w:rPr>
          <w:sz w:val="22"/>
          <w:szCs w:val="22"/>
        </w:rPr>
      </w:pPr>
      <w:r w:rsidRPr="00D245BD">
        <w:rPr>
          <w:sz w:val="22"/>
          <w:szCs w:val="22"/>
        </w:rPr>
        <w:t xml:space="preserve">The a priori expectation of this study is that higher levels of health expenditure, measured through government and private health spending, are associated with </w:t>
      </w:r>
      <w:r w:rsidR="001F2FF8" w:rsidRPr="00D245BD">
        <w:rPr>
          <w:sz w:val="22"/>
          <w:szCs w:val="22"/>
        </w:rPr>
        <w:t>an</w:t>
      </w:r>
      <w:r w:rsidRPr="00D245BD">
        <w:rPr>
          <w:sz w:val="22"/>
          <w:szCs w:val="22"/>
        </w:rPr>
        <w:t xml:space="preserve"> </w:t>
      </w:r>
      <w:r w:rsidR="001F2FF8" w:rsidRPr="00D245BD">
        <w:rPr>
          <w:sz w:val="22"/>
          <w:szCs w:val="22"/>
        </w:rPr>
        <w:t>increase</w:t>
      </w:r>
      <w:r w:rsidRPr="00D245BD">
        <w:rPr>
          <w:sz w:val="22"/>
          <w:szCs w:val="22"/>
        </w:rPr>
        <w:t xml:space="preserve"> in </w:t>
      </w:r>
      <w:r w:rsidR="001F2FF8" w:rsidRPr="00D245BD">
        <w:rPr>
          <w:sz w:val="22"/>
          <w:szCs w:val="22"/>
        </w:rPr>
        <w:t>life expectancy</w:t>
      </w:r>
      <w:r w:rsidRPr="00D245BD">
        <w:rPr>
          <w:sz w:val="22"/>
          <w:szCs w:val="22"/>
        </w:rPr>
        <w:t xml:space="preserve">. Furthermore, improvements in institutional quality are anticipated to exert a </w:t>
      </w:r>
      <w:r w:rsidR="001F2FF8" w:rsidRPr="00D245BD">
        <w:rPr>
          <w:sz w:val="22"/>
          <w:szCs w:val="22"/>
        </w:rPr>
        <w:t>positive impact on life expectancy in Sub-Saharan African countries</w:t>
      </w:r>
      <w:r w:rsidRPr="00D245BD">
        <w:rPr>
          <w:sz w:val="22"/>
          <w:szCs w:val="22"/>
        </w:rPr>
        <w:t xml:space="preserve">, as stronger governance, better regulatory frameworks, </w:t>
      </w:r>
      <w:r w:rsidRPr="00D245BD">
        <w:rPr>
          <w:sz w:val="22"/>
          <w:szCs w:val="22"/>
        </w:rPr>
        <w:lastRenderedPageBreak/>
        <w:t>and reduced corruption enhance the efficiency and effectiveness of public service delivery, including healthcare provision.</w:t>
      </w:r>
    </w:p>
    <w:p w14:paraId="35BCC927" w14:textId="77777777" w:rsidR="00FF1482" w:rsidRPr="00D245BD" w:rsidRDefault="00FF1482" w:rsidP="001F2FF8">
      <w:pPr>
        <w:spacing w:after="0" w:line="360" w:lineRule="auto"/>
        <w:jc w:val="both"/>
        <w:rPr>
          <w:rFonts w:ascii="Times New Roman" w:eastAsia="Times New Roman" w:hAnsi="Times New Roman" w:cs="Times New Roman"/>
        </w:rPr>
      </w:pPr>
      <w:r w:rsidRPr="00D245BD">
        <w:rPr>
          <w:rFonts w:ascii="Times New Roman" w:eastAsia="Times New Roman" w:hAnsi="Times New Roman" w:cs="Times New Roman"/>
          <w:b/>
        </w:rPr>
        <w:t>3.4 Measurement of the variables</w:t>
      </w:r>
    </w:p>
    <w:p w14:paraId="6E87B3F2" w14:textId="109BF97E" w:rsidR="001F2FF8" w:rsidRPr="00D245BD" w:rsidRDefault="001F2FF8" w:rsidP="001F2FF8">
      <w:pPr>
        <w:spacing w:after="0" w:line="360" w:lineRule="auto"/>
        <w:ind w:firstLine="720"/>
        <w:jc w:val="both"/>
        <w:rPr>
          <w:rFonts w:ascii="Times New Roman" w:eastAsia="Times New Roman" w:hAnsi="Times New Roman" w:cs="Times New Roman"/>
        </w:rPr>
      </w:pPr>
      <w:r w:rsidRPr="00D245BD">
        <w:rPr>
          <w:rFonts w:ascii="Times New Roman" w:hAnsi="Times New Roman" w:cs="Times New Roman"/>
          <w:b/>
          <w:bCs/>
        </w:rPr>
        <w:t>Life Expectancy:</w:t>
      </w:r>
      <w:r w:rsidRPr="00D245BD">
        <w:rPr>
          <w:rFonts w:ascii="Times New Roman" w:eastAsia="Times New Roman" w:hAnsi="Times New Roman" w:cs="Times New Roman"/>
        </w:rPr>
        <w:t xml:space="preserve"> Life expectancy at birth indicates the number of years a new-born infant would live if prevailing patterns of mortality at the time of its birth were to stay the same throughout its life (World Bank, 2026).</w:t>
      </w:r>
    </w:p>
    <w:p w14:paraId="3E616ABA" w14:textId="61289FCF" w:rsidR="00FF1482" w:rsidRPr="00D245BD" w:rsidRDefault="00FF1482" w:rsidP="001F2FF8">
      <w:pPr>
        <w:spacing w:after="0" w:line="360" w:lineRule="auto"/>
        <w:ind w:firstLine="720"/>
        <w:jc w:val="both"/>
        <w:rPr>
          <w:rFonts w:ascii="Times New Roman" w:eastAsia="Times New Roman" w:hAnsi="Times New Roman" w:cs="Times New Roman"/>
          <w:lang w:eastAsia="en-NG"/>
        </w:rPr>
      </w:pPr>
      <w:r w:rsidRPr="00D245BD">
        <w:rPr>
          <w:rFonts w:ascii="Times New Roman" w:hAnsi="Times New Roman" w:cs="Times New Roman"/>
          <w:b/>
          <w:bCs/>
        </w:rPr>
        <w:t>Government Health Expenditure:</w:t>
      </w:r>
      <w:r w:rsidRPr="00D245BD">
        <w:rPr>
          <w:rFonts w:ascii="Times New Roman" w:hAnsi="Times New Roman" w:cs="Times New Roman"/>
        </w:rPr>
        <w:t xml:space="preserve"> </w:t>
      </w:r>
      <w:r w:rsidRPr="00D245BD">
        <w:rPr>
          <w:rFonts w:ascii="Times New Roman" w:eastAsia="Times New Roman" w:hAnsi="Times New Roman" w:cs="Times New Roman"/>
          <w:lang w:eastAsia="en-NG"/>
        </w:rPr>
        <w:t>Public expenditure on health from domestic sources as a share of total public expenditure.  It indicates the priority of the government to spend on health from its own domestic public resources (World Bank, 2026).</w:t>
      </w:r>
    </w:p>
    <w:p w14:paraId="3A484A19" w14:textId="77777777" w:rsidR="00FF1482" w:rsidRPr="00D245BD" w:rsidRDefault="00FF1482" w:rsidP="001F2FF8">
      <w:pPr>
        <w:spacing w:after="0" w:line="360" w:lineRule="auto"/>
        <w:ind w:firstLine="720"/>
        <w:jc w:val="both"/>
        <w:rPr>
          <w:rFonts w:ascii="Times New Roman" w:eastAsia="Times New Roman" w:hAnsi="Times New Roman" w:cs="Times New Roman"/>
          <w:lang w:eastAsia="en-NG"/>
        </w:rPr>
      </w:pPr>
      <w:r w:rsidRPr="00D245BD">
        <w:rPr>
          <w:rFonts w:ascii="Times New Roman" w:hAnsi="Times New Roman" w:cs="Times New Roman"/>
          <w:b/>
          <w:bCs/>
        </w:rPr>
        <w:t>Private Health Expenditure:</w:t>
      </w:r>
      <w:r w:rsidRPr="00D245BD">
        <w:rPr>
          <w:rFonts w:ascii="Times New Roman" w:hAnsi="Times New Roman" w:cs="Times New Roman"/>
        </w:rPr>
        <w:t xml:space="preserve"> </w:t>
      </w:r>
      <w:r w:rsidRPr="00D245BD">
        <w:rPr>
          <w:rFonts w:ascii="Times New Roman" w:eastAsia="Times New Roman" w:hAnsi="Times New Roman" w:cs="Times New Roman"/>
          <w:lang w:eastAsia="en-NG"/>
        </w:rPr>
        <w:t>Share of current health expenditures funded from domestic private sources.  Domestic private sources include funds from households, corporations, and non-profit organizations. Such expenditures can be either prepaid to voluntary health insurance or paid directly to healthcare providers (World Bank, 2026).</w:t>
      </w:r>
    </w:p>
    <w:p w14:paraId="51F8D465" w14:textId="77777777"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b/>
          <w:bCs/>
        </w:rPr>
        <w:t xml:space="preserve">Government effectiveness: </w:t>
      </w:r>
      <w:r w:rsidRPr="00D245BD">
        <w:rPr>
          <w:rFonts w:ascii="Times New Roman" w:eastAsia="Times New Roman" w:hAnsi="Times New Roman" w:cs="Times New Roman"/>
          <w:lang w:eastAsia="en-NG"/>
        </w:rPr>
        <w:t>Government Effectiveness captures perceptions of the quality of public services, the quality of the civil service and the degree of its independence from political pressures, the quality of policy formulation and implementation, and the credibility of the government's commitment to such policies. The estimate gives the country's score on the aggregate indicator, in units of a standard normal distribution (World Bank, 2026).</w:t>
      </w:r>
    </w:p>
    <w:p w14:paraId="51F909BF" w14:textId="77777777"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b/>
          <w:bCs/>
        </w:rPr>
        <w:t xml:space="preserve">Control of corruption: </w:t>
      </w:r>
      <w:r w:rsidRPr="00D245BD">
        <w:rPr>
          <w:rFonts w:ascii="Times New Roman" w:eastAsia="Times New Roman" w:hAnsi="Times New Roman" w:cs="Times New Roman"/>
          <w:lang w:eastAsia="en-NG"/>
        </w:rPr>
        <w:t>Control of Corruption captures perceptions of the extent to which public power is exercised for private gain, including both petty and grand forms of corruption, as well as "capture" of the state by elites and private interests. The estimate gives the country's score on the aggregate indicator, in units of a standard normal distribution (World Bank, 2026).</w:t>
      </w:r>
    </w:p>
    <w:p w14:paraId="59F7C32B" w14:textId="77777777" w:rsidR="00FF1482" w:rsidRPr="00D245BD" w:rsidRDefault="00FF1482" w:rsidP="001F2FF8">
      <w:pPr>
        <w:spacing w:after="0" w:line="360" w:lineRule="auto"/>
        <w:ind w:firstLine="720"/>
        <w:jc w:val="both"/>
        <w:rPr>
          <w:rFonts w:ascii="Times New Roman" w:eastAsiaTheme="minorEastAsia" w:hAnsi="Times New Roman" w:cs="Times New Roman"/>
        </w:rPr>
      </w:pPr>
      <w:r w:rsidRPr="00D245BD">
        <w:rPr>
          <w:rFonts w:ascii="Times New Roman" w:eastAsiaTheme="minorEastAsia" w:hAnsi="Times New Roman" w:cs="Times New Roman"/>
          <w:b/>
          <w:bCs/>
        </w:rPr>
        <w:t xml:space="preserve">Regulatory quality: </w:t>
      </w:r>
      <w:r w:rsidRPr="00D245BD">
        <w:rPr>
          <w:rFonts w:ascii="Times New Roman" w:eastAsia="Times New Roman" w:hAnsi="Times New Roman" w:cs="Times New Roman"/>
          <w:lang w:eastAsia="en-NG"/>
        </w:rPr>
        <w:t>Regulatory Quality captures perceptions of the ability of the government to formulate and implement sound policies and regulations that permit and promote private sector development. The estimate gives the country's score on the aggregate indicator, in units of a standard normal distribution (World Bank, 2026).</w:t>
      </w:r>
    </w:p>
    <w:p w14:paraId="11074036" w14:textId="77777777" w:rsidR="00FF1482" w:rsidRPr="00D245BD" w:rsidRDefault="00FF1482" w:rsidP="001F2FF8">
      <w:pPr>
        <w:spacing w:after="0" w:line="360" w:lineRule="auto"/>
        <w:jc w:val="both"/>
        <w:rPr>
          <w:rFonts w:ascii="Times New Roman" w:eastAsia="Times New Roman" w:hAnsi="Times New Roman" w:cs="Times New Roman"/>
          <w:b/>
        </w:rPr>
      </w:pPr>
      <w:r w:rsidRPr="00D245BD">
        <w:rPr>
          <w:rFonts w:ascii="Times New Roman" w:eastAsia="Times New Roman" w:hAnsi="Times New Roman" w:cs="Times New Roman"/>
          <w:b/>
        </w:rPr>
        <w:t>3.5 Method of data analysis</w:t>
      </w:r>
    </w:p>
    <w:bookmarkEnd w:id="1"/>
    <w:p w14:paraId="09220909" w14:textId="3EBF1866" w:rsidR="00FF1482" w:rsidRPr="00D245BD" w:rsidRDefault="00FF1482" w:rsidP="001F2FF8">
      <w:pPr>
        <w:pStyle w:val="NormalWeb"/>
        <w:spacing w:after="0" w:line="360" w:lineRule="auto"/>
        <w:ind w:firstLine="720"/>
        <w:jc w:val="both"/>
        <w:rPr>
          <w:sz w:val="22"/>
          <w:szCs w:val="22"/>
        </w:rPr>
      </w:pPr>
      <w:r w:rsidRPr="00D245BD">
        <w:rPr>
          <w:sz w:val="22"/>
          <w:szCs w:val="22"/>
        </w:rPr>
        <w:t xml:space="preserve">To examine the stationarity properties of the variables, this study applies the second-generation Cross-sectional Augmented </w:t>
      </w:r>
      <w:proofErr w:type="spellStart"/>
      <w:r w:rsidRPr="00D245BD">
        <w:rPr>
          <w:sz w:val="22"/>
          <w:szCs w:val="22"/>
        </w:rPr>
        <w:t>Im</w:t>
      </w:r>
      <w:proofErr w:type="spellEnd"/>
      <w:r w:rsidRPr="00D245BD">
        <w:rPr>
          <w:sz w:val="22"/>
          <w:szCs w:val="22"/>
        </w:rPr>
        <w:t xml:space="preserve">, </w:t>
      </w:r>
      <w:proofErr w:type="spellStart"/>
      <w:r w:rsidRPr="00D245BD">
        <w:rPr>
          <w:sz w:val="22"/>
          <w:szCs w:val="22"/>
        </w:rPr>
        <w:t>Pesaran</w:t>
      </w:r>
      <w:proofErr w:type="spellEnd"/>
      <w:r w:rsidRPr="00D245BD">
        <w:rPr>
          <w:sz w:val="22"/>
          <w:szCs w:val="22"/>
        </w:rPr>
        <w:t xml:space="preserve">, and Shin (CIPS) unit root test developed by </w:t>
      </w:r>
      <w:proofErr w:type="spellStart"/>
      <w:r w:rsidRPr="00D245BD">
        <w:rPr>
          <w:sz w:val="22"/>
          <w:szCs w:val="22"/>
        </w:rPr>
        <w:t>Pesaran</w:t>
      </w:r>
      <w:proofErr w:type="spellEnd"/>
      <w:r w:rsidRPr="00D245BD">
        <w:rPr>
          <w:sz w:val="22"/>
          <w:szCs w:val="22"/>
        </w:rPr>
        <w:t xml:space="preserve"> (2007), which takes into account cross-sectional dependence caused by common shocks and unobserved heterogeneity across units. After determining the stochastic characteristics of the variables and carrying out any necessary data transformations, the empirical analysis is estimated using the one-step Generalized Method of Moments (GMM) approach. To ensure the reliability and robustness of the GMM estimates, several post-estimation diagnostic tests are conducted. These include the Arellano-Bond test, which checks for serial correlation in the differenced residuals, and the Hansen (or </w:t>
      </w:r>
      <w:proofErr w:type="spellStart"/>
      <w:r w:rsidRPr="00D245BD">
        <w:rPr>
          <w:sz w:val="22"/>
          <w:szCs w:val="22"/>
        </w:rPr>
        <w:t>Sargan</w:t>
      </w:r>
      <w:proofErr w:type="spellEnd"/>
      <w:r w:rsidRPr="00D245BD">
        <w:rPr>
          <w:sz w:val="22"/>
          <w:szCs w:val="22"/>
        </w:rPr>
        <w:t>) test, which assesses the validity of the instruments and confirms the absence of over-identifying restrictions.</w:t>
      </w:r>
    </w:p>
    <w:p w14:paraId="64CC4B1D" w14:textId="742DB216" w:rsidR="008D1FD9" w:rsidRPr="00D245BD" w:rsidRDefault="008D1FD9" w:rsidP="001F2FF8">
      <w:pPr>
        <w:spacing w:after="0" w:line="360" w:lineRule="auto"/>
        <w:jc w:val="both"/>
        <w:rPr>
          <w:rFonts w:ascii="Times New Roman" w:hAnsi="Times New Roman" w:cs="Times New Roman"/>
          <w:b/>
          <w:bCs/>
        </w:rPr>
      </w:pPr>
      <w:r w:rsidRPr="00D245BD">
        <w:rPr>
          <w:rFonts w:ascii="Times New Roman" w:hAnsi="Times New Roman" w:cs="Times New Roman"/>
          <w:b/>
          <w:bCs/>
        </w:rPr>
        <w:lastRenderedPageBreak/>
        <w:t>4.0 Result and Discussion</w:t>
      </w:r>
    </w:p>
    <w:p w14:paraId="0C6A8EAD" w14:textId="77777777" w:rsidR="008D1FD9" w:rsidRPr="00D245BD" w:rsidRDefault="008D1FD9" w:rsidP="001F2FF8">
      <w:pPr>
        <w:spacing w:after="0" w:line="360" w:lineRule="auto"/>
        <w:jc w:val="both"/>
        <w:rPr>
          <w:rFonts w:ascii="Times New Roman" w:hAnsi="Times New Roman" w:cs="Times New Roman"/>
          <w:b/>
          <w:bCs/>
        </w:rPr>
      </w:pPr>
      <w:r w:rsidRPr="00D245BD">
        <w:rPr>
          <w:rFonts w:ascii="Times New Roman" w:hAnsi="Times New Roman" w:cs="Times New Roman"/>
          <w:b/>
          <w:bCs/>
        </w:rPr>
        <w:t>4.1 Unit root test</w:t>
      </w:r>
    </w:p>
    <w:p w14:paraId="293098A6" w14:textId="4CE80CC0" w:rsidR="005E56AC" w:rsidRPr="00D245BD" w:rsidRDefault="008D1FD9" w:rsidP="001F2FF8">
      <w:pPr>
        <w:spacing w:after="0" w:line="360" w:lineRule="auto"/>
        <w:ind w:firstLine="720"/>
        <w:jc w:val="both"/>
        <w:rPr>
          <w:rFonts w:ascii="Times New Roman" w:hAnsi="Times New Roman" w:cs="Times New Roman"/>
          <w:b/>
          <w:bCs/>
        </w:rPr>
      </w:pPr>
      <w:r w:rsidRPr="00D245BD">
        <w:rPr>
          <w:rFonts w:ascii="Times New Roman" w:hAnsi="Times New Roman" w:cs="Times New Roman"/>
        </w:rPr>
        <w:t xml:space="preserve">Second-generation Cross-sectionally Augmented </w:t>
      </w:r>
      <w:proofErr w:type="spellStart"/>
      <w:r w:rsidRPr="00D245BD">
        <w:rPr>
          <w:rFonts w:ascii="Times New Roman" w:hAnsi="Times New Roman" w:cs="Times New Roman"/>
        </w:rPr>
        <w:t>Im</w:t>
      </w:r>
      <w:proofErr w:type="spellEnd"/>
      <w:r w:rsidRPr="00D245BD">
        <w:rPr>
          <w:rFonts w:ascii="Times New Roman" w:hAnsi="Times New Roman" w:cs="Times New Roman"/>
        </w:rPr>
        <w:t xml:space="preserve">, </w:t>
      </w:r>
      <w:proofErr w:type="spellStart"/>
      <w:r w:rsidRPr="00D245BD">
        <w:rPr>
          <w:rFonts w:ascii="Times New Roman" w:hAnsi="Times New Roman" w:cs="Times New Roman"/>
        </w:rPr>
        <w:t>Pesaran</w:t>
      </w:r>
      <w:proofErr w:type="spellEnd"/>
      <w:r w:rsidRPr="00D245BD">
        <w:rPr>
          <w:rFonts w:ascii="Times New Roman" w:hAnsi="Times New Roman" w:cs="Times New Roman"/>
        </w:rPr>
        <w:t xml:space="preserve"> and Shin (CIPS) unit root test established by </w:t>
      </w:r>
      <w:proofErr w:type="spellStart"/>
      <w:r w:rsidRPr="00D245BD">
        <w:rPr>
          <w:rFonts w:ascii="Times New Roman" w:hAnsi="Times New Roman" w:cs="Times New Roman"/>
        </w:rPr>
        <w:t>Pesaran</w:t>
      </w:r>
      <w:proofErr w:type="spellEnd"/>
      <w:r w:rsidRPr="00D245BD">
        <w:rPr>
          <w:rFonts w:ascii="Times New Roman" w:hAnsi="Times New Roman" w:cs="Times New Roman"/>
        </w:rPr>
        <w:t xml:space="preserve"> (2007) was used to account for potential cross-sectional dependence resulting from shared shocks and unobserved heterogeneity across cross-sectional units. The result is presented in Table 4.1</w:t>
      </w:r>
    </w:p>
    <w:p w14:paraId="1FC6D3D3" w14:textId="77777777" w:rsidR="008602CF" w:rsidRPr="00D245BD" w:rsidRDefault="008602CF" w:rsidP="001F2FF8">
      <w:pPr>
        <w:spacing w:after="0" w:line="360" w:lineRule="auto"/>
        <w:jc w:val="both"/>
        <w:rPr>
          <w:rFonts w:ascii="Times New Roman" w:hAnsi="Times New Roman" w:cs="Times New Roman"/>
          <w:b/>
          <w:bCs/>
        </w:rPr>
      </w:pPr>
      <w:bookmarkStart w:id="3" w:name="_Toc222147802"/>
      <w:bookmarkStart w:id="4" w:name="_Toc222147946"/>
      <w:bookmarkStart w:id="5" w:name="_Toc222148160"/>
      <w:r w:rsidRPr="00D245BD">
        <w:rPr>
          <w:rFonts w:ascii="Times New Roman" w:hAnsi="Times New Roman" w:cs="Times New Roman"/>
          <w:b/>
          <w:bCs/>
        </w:rPr>
        <w:t xml:space="preserve">Table 4.1 Cross-Sectional Augmented </w:t>
      </w:r>
      <w:proofErr w:type="spellStart"/>
      <w:r w:rsidRPr="00D245BD">
        <w:rPr>
          <w:rFonts w:ascii="Times New Roman" w:hAnsi="Times New Roman" w:cs="Times New Roman"/>
          <w:b/>
          <w:bCs/>
        </w:rPr>
        <w:t>Im</w:t>
      </w:r>
      <w:proofErr w:type="spellEnd"/>
      <w:r w:rsidRPr="00D245BD">
        <w:rPr>
          <w:rFonts w:ascii="Times New Roman" w:hAnsi="Times New Roman" w:cs="Times New Roman"/>
          <w:b/>
          <w:bCs/>
        </w:rPr>
        <w:t xml:space="preserve">, </w:t>
      </w:r>
      <w:proofErr w:type="spellStart"/>
      <w:r w:rsidRPr="00D245BD">
        <w:rPr>
          <w:rFonts w:ascii="Times New Roman" w:hAnsi="Times New Roman" w:cs="Times New Roman"/>
          <w:b/>
          <w:bCs/>
        </w:rPr>
        <w:t>Pesaran</w:t>
      </w:r>
      <w:proofErr w:type="spellEnd"/>
      <w:r w:rsidRPr="00D245BD">
        <w:rPr>
          <w:rFonts w:ascii="Times New Roman" w:hAnsi="Times New Roman" w:cs="Times New Roman"/>
          <w:b/>
          <w:bCs/>
        </w:rPr>
        <w:t xml:space="preserve"> and Shin (CIPS) Unit Root Test Results</w:t>
      </w:r>
      <w:bookmarkEnd w:id="3"/>
      <w:bookmarkEnd w:id="4"/>
      <w:bookmarkEnd w:id="5"/>
      <w:r w:rsidRPr="00D245BD">
        <w:rPr>
          <w:rFonts w:ascii="Times New Roman" w:hAnsi="Times New Roman" w:cs="Times New Roman"/>
          <w:b/>
          <w:bCs/>
        </w:rPr>
        <w:t xml:space="preserve"> </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7A0" w:firstRow="1" w:lastRow="0" w:firstColumn="1" w:lastColumn="1" w:noHBand="1" w:noVBand="1"/>
      </w:tblPr>
      <w:tblGrid>
        <w:gridCol w:w="1352"/>
        <w:gridCol w:w="1295"/>
        <w:gridCol w:w="1501"/>
        <w:gridCol w:w="1249"/>
        <w:gridCol w:w="1447"/>
        <w:gridCol w:w="1656"/>
      </w:tblGrid>
      <w:tr w:rsidR="008602CF" w:rsidRPr="00D245BD" w14:paraId="5659AEBC" w14:textId="77777777" w:rsidTr="0097401F">
        <w:trPr>
          <w:trHeight w:val="526"/>
        </w:trPr>
        <w:tc>
          <w:tcPr>
            <w:tcW w:w="1352" w:type="dxa"/>
            <w:vMerge w:val="restart"/>
          </w:tcPr>
          <w:p w14:paraId="29B90785"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Variable</w:t>
            </w:r>
          </w:p>
        </w:tc>
        <w:tc>
          <w:tcPr>
            <w:tcW w:w="2796" w:type="dxa"/>
            <w:gridSpan w:val="2"/>
          </w:tcPr>
          <w:p w14:paraId="3A6236D5"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At Levels</w:t>
            </w:r>
          </w:p>
        </w:tc>
        <w:tc>
          <w:tcPr>
            <w:tcW w:w="2696" w:type="dxa"/>
            <w:gridSpan w:val="2"/>
          </w:tcPr>
          <w:p w14:paraId="64DE6816"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At First Difference</w:t>
            </w:r>
          </w:p>
        </w:tc>
        <w:tc>
          <w:tcPr>
            <w:tcW w:w="1656" w:type="dxa"/>
            <w:vMerge w:val="restart"/>
          </w:tcPr>
          <w:p w14:paraId="434C049C"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Order of Integration</w:t>
            </w:r>
          </w:p>
        </w:tc>
      </w:tr>
      <w:tr w:rsidR="008602CF" w:rsidRPr="00D245BD" w14:paraId="39D4F1EC" w14:textId="77777777" w:rsidTr="0097401F">
        <w:trPr>
          <w:trHeight w:val="526"/>
        </w:trPr>
        <w:tc>
          <w:tcPr>
            <w:tcW w:w="1352" w:type="dxa"/>
            <w:vMerge/>
          </w:tcPr>
          <w:p w14:paraId="499148E0" w14:textId="77777777" w:rsidR="008602CF" w:rsidRPr="00D245BD" w:rsidRDefault="008602CF" w:rsidP="0097401F">
            <w:pPr>
              <w:ind w:right="26"/>
              <w:jc w:val="both"/>
              <w:rPr>
                <w:rFonts w:ascii="Times New Roman" w:hAnsi="Times New Roman" w:cs="Times New Roman"/>
                <w:b/>
              </w:rPr>
            </w:pPr>
          </w:p>
        </w:tc>
        <w:tc>
          <w:tcPr>
            <w:tcW w:w="1295" w:type="dxa"/>
          </w:tcPr>
          <w:p w14:paraId="65A58666"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CIPS</w:t>
            </w:r>
          </w:p>
        </w:tc>
        <w:tc>
          <w:tcPr>
            <w:tcW w:w="1501" w:type="dxa"/>
          </w:tcPr>
          <w:p w14:paraId="1A21ECC5"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5% Critical Level</w:t>
            </w:r>
          </w:p>
        </w:tc>
        <w:tc>
          <w:tcPr>
            <w:tcW w:w="1249" w:type="dxa"/>
          </w:tcPr>
          <w:p w14:paraId="228502C2" w14:textId="77777777" w:rsidR="008602CF" w:rsidRPr="00D245BD" w:rsidRDefault="008602CF" w:rsidP="0097401F">
            <w:pPr>
              <w:ind w:right="26"/>
              <w:jc w:val="both"/>
              <w:rPr>
                <w:rFonts w:ascii="Times New Roman" w:hAnsi="Times New Roman" w:cs="Times New Roman"/>
                <w:b/>
                <w:vertAlign w:val="superscript"/>
              </w:rPr>
            </w:pPr>
            <w:r w:rsidRPr="00D245BD">
              <w:rPr>
                <w:rFonts w:ascii="Times New Roman" w:hAnsi="Times New Roman" w:cs="Times New Roman"/>
                <w:b/>
              </w:rPr>
              <w:t>CIPS</w:t>
            </w:r>
            <w:r w:rsidRPr="00D245BD">
              <w:rPr>
                <w:rFonts w:ascii="Times New Roman" w:hAnsi="Times New Roman" w:cs="Times New Roman"/>
              </w:rPr>
              <w:t>*</w:t>
            </w:r>
          </w:p>
        </w:tc>
        <w:tc>
          <w:tcPr>
            <w:tcW w:w="1447" w:type="dxa"/>
          </w:tcPr>
          <w:p w14:paraId="63C78100" w14:textId="77777777" w:rsidR="008602CF" w:rsidRPr="00D245BD" w:rsidRDefault="008602CF" w:rsidP="0097401F">
            <w:pPr>
              <w:ind w:right="26"/>
              <w:jc w:val="both"/>
              <w:rPr>
                <w:rFonts w:ascii="Times New Roman" w:hAnsi="Times New Roman" w:cs="Times New Roman"/>
                <w:b/>
              </w:rPr>
            </w:pPr>
            <w:r w:rsidRPr="00D245BD">
              <w:rPr>
                <w:rFonts w:ascii="Times New Roman" w:hAnsi="Times New Roman" w:cs="Times New Roman"/>
                <w:b/>
              </w:rPr>
              <w:t>5% Critical Level</w:t>
            </w:r>
          </w:p>
        </w:tc>
        <w:tc>
          <w:tcPr>
            <w:tcW w:w="1656" w:type="dxa"/>
            <w:vMerge/>
          </w:tcPr>
          <w:p w14:paraId="77ACC380" w14:textId="77777777" w:rsidR="008602CF" w:rsidRPr="00D245BD" w:rsidRDefault="008602CF" w:rsidP="0097401F">
            <w:pPr>
              <w:ind w:right="26"/>
              <w:jc w:val="both"/>
              <w:rPr>
                <w:rFonts w:ascii="Times New Roman" w:hAnsi="Times New Roman" w:cs="Times New Roman"/>
                <w:b/>
              </w:rPr>
            </w:pPr>
          </w:p>
        </w:tc>
      </w:tr>
      <w:tr w:rsidR="008602CF" w:rsidRPr="00D245BD" w14:paraId="16169DA1" w14:textId="77777777" w:rsidTr="0097401F">
        <w:trPr>
          <w:trHeight w:val="172"/>
        </w:trPr>
        <w:tc>
          <w:tcPr>
            <w:tcW w:w="1352" w:type="dxa"/>
          </w:tcPr>
          <w:p w14:paraId="3951BE48" w14:textId="77777777"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LEX</w:t>
            </w:r>
          </w:p>
        </w:tc>
        <w:tc>
          <w:tcPr>
            <w:tcW w:w="1295" w:type="dxa"/>
          </w:tcPr>
          <w:p w14:paraId="0FFD97F1"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-1.928</w:t>
            </w:r>
          </w:p>
        </w:tc>
        <w:tc>
          <w:tcPr>
            <w:tcW w:w="1501" w:type="dxa"/>
          </w:tcPr>
          <w:p w14:paraId="0EBAAC7B"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249" w:type="dxa"/>
          </w:tcPr>
          <w:p w14:paraId="2A779971" w14:textId="77777777" w:rsidR="008602CF" w:rsidRPr="00D245BD" w:rsidRDefault="008602CF" w:rsidP="0097401F">
            <w:pPr>
              <w:ind w:right="26"/>
              <w:jc w:val="both"/>
              <w:rPr>
                <w:rFonts w:ascii="Times New Roman" w:hAnsi="Times New Roman" w:cs="Times New Roman"/>
                <w:bCs/>
                <w:vertAlign w:val="superscript"/>
              </w:rPr>
            </w:pPr>
            <w:r w:rsidRPr="00D245BD">
              <w:rPr>
                <w:rFonts w:ascii="Times New Roman" w:hAnsi="Times New Roman" w:cs="Times New Roman"/>
              </w:rPr>
              <w:t>-4.153**</w:t>
            </w:r>
          </w:p>
        </w:tc>
        <w:tc>
          <w:tcPr>
            <w:tcW w:w="1447" w:type="dxa"/>
          </w:tcPr>
          <w:p w14:paraId="494644B7"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656" w:type="dxa"/>
          </w:tcPr>
          <w:p w14:paraId="27C6F0F5" w14:textId="77777777" w:rsidR="008602CF" w:rsidRPr="00D245BD" w:rsidRDefault="008602CF" w:rsidP="0097401F">
            <w:pPr>
              <w:ind w:right="26"/>
              <w:jc w:val="both"/>
              <w:rPr>
                <w:rFonts w:ascii="Times New Roman" w:hAnsi="Times New Roman" w:cs="Times New Roman"/>
              </w:rPr>
            </w:pPr>
            <w:proofErr w:type="gramStart"/>
            <w:r w:rsidRPr="00D245BD">
              <w:rPr>
                <w:rFonts w:ascii="Times New Roman" w:hAnsi="Times New Roman" w:cs="Times New Roman"/>
              </w:rPr>
              <w:t>I(</w:t>
            </w:r>
            <w:proofErr w:type="gramEnd"/>
            <w:r w:rsidRPr="00D245BD">
              <w:rPr>
                <w:rFonts w:ascii="Times New Roman" w:hAnsi="Times New Roman" w:cs="Times New Roman"/>
              </w:rPr>
              <w:t>1)</w:t>
            </w:r>
          </w:p>
        </w:tc>
      </w:tr>
      <w:tr w:rsidR="008602CF" w:rsidRPr="00D245BD" w14:paraId="6B2CE494" w14:textId="77777777" w:rsidTr="0097401F">
        <w:trPr>
          <w:trHeight w:val="172"/>
        </w:trPr>
        <w:tc>
          <w:tcPr>
            <w:tcW w:w="1352" w:type="dxa"/>
          </w:tcPr>
          <w:p w14:paraId="7CA9ECEC" w14:textId="599019CE"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PHEX</w:t>
            </w:r>
          </w:p>
        </w:tc>
        <w:tc>
          <w:tcPr>
            <w:tcW w:w="1295" w:type="dxa"/>
          </w:tcPr>
          <w:p w14:paraId="1DF305DC"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-2.286**</w:t>
            </w:r>
          </w:p>
        </w:tc>
        <w:tc>
          <w:tcPr>
            <w:tcW w:w="1501" w:type="dxa"/>
          </w:tcPr>
          <w:p w14:paraId="0F348099"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-2.11</w:t>
            </w:r>
          </w:p>
        </w:tc>
        <w:tc>
          <w:tcPr>
            <w:tcW w:w="1249" w:type="dxa"/>
          </w:tcPr>
          <w:p w14:paraId="6C361F7B"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 xml:space="preserve">-5.063        </w:t>
            </w:r>
          </w:p>
        </w:tc>
        <w:tc>
          <w:tcPr>
            <w:tcW w:w="1447" w:type="dxa"/>
          </w:tcPr>
          <w:p w14:paraId="7362B0D6"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656" w:type="dxa"/>
          </w:tcPr>
          <w:p w14:paraId="2C26E506" w14:textId="77777777" w:rsidR="008602CF" w:rsidRPr="00D245BD" w:rsidRDefault="008602CF" w:rsidP="0097401F">
            <w:pPr>
              <w:ind w:right="26"/>
              <w:jc w:val="both"/>
              <w:rPr>
                <w:rFonts w:ascii="Times New Roman" w:hAnsi="Times New Roman" w:cs="Times New Roman"/>
              </w:rPr>
            </w:pPr>
            <w:proofErr w:type="gramStart"/>
            <w:r w:rsidRPr="00D245BD">
              <w:rPr>
                <w:rFonts w:ascii="Times New Roman" w:hAnsi="Times New Roman" w:cs="Times New Roman"/>
              </w:rPr>
              <w:t>I(</w:t>
            </w:r>
            <w:proofErr w:type="gramEnd"/>
            <w:r w:rsidRPr="00D245BD">
              <w:rPr>
                <w:rFonts w:ascii="Times New Roman" w:hAnsi="Times New Roman" w:cs="Times New Roman"/>
              </w:rPr>
              <w:t>0)</w:t>
            </w:r>
          </w:p>
        </w:tc>
      </w:tr>
      <w:tr w:rsidR="008602CF" w:rsidRPr="00D245BD" w14:paraId="26565C95" w14:textId="77777777" w:rsidTr="0097401F">
        <w:trPr>
          <w:trHeight w:val="172"/>
        </w:trPr>
        <w:tc>
          <w:tcPr>
            <w:tcW w:w="1352" w:type="dxa"/>
          </w:tcPr>
          <w:p w14:paraId="3449F3F5" w14:textId="54EE00A1"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GHEX</w:t>
            </w:r>
          </w:p>
        </w:tc>
        <w:tc>
          <w:tcPr>
            <w:tcW w:w="1295" w:type="dxa"/>
          </w:tcPr>
          <w:p w14:paraId="1420D0F4"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-2.084</w:t>
            </w:r>
          </w:p>
        </w:tc>
        <w:tc>
          <w:tcPr>
            <w:tcW w:w="1501" w:type="dxa"/>
          </w:tcPr>
          <w:p w14:paraId="49FCD70A"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249" w:type="dxa"/>
          </w:tcPr>
          <w:p w14:paraId="03D26F88"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-5.276**</w:t>
            </w:r>
          </w:p>
        </w:tc>
        <w:tc>
          <w:tcPr>
            <w:tcW w:w="1447" w:type="dxa"/>
          </w:tcPr>
          <w:p w14:paraId="3B0D602A"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-2.11</w:t>
            </w:r>
          </w:p>
        </w:tc>
        <w:tc>
          <w:tcPr>
            <w:tcW w:w="1656" w:type="dxa"/>
          </w:tcPr>
          <w:p w14:paraId="0B2F0819" w14:textId="77777777" w:rsidR="008602CF" w:rsidRPr="00D245BD" w:rsidRDefault="008602CF" w:rsidP="0097401F">
            <w:pPr>
              <w:ind w:right="26"/>
              <w:jc w:val="both"/>
              <w:rPr>
                <w:rFonts w:ascii="Times New Roman" w:hAnsi="Times New Roman" w:cs="Times New Roman"/>
              </w:rPr>
            </w:pPr>
            <w:proofErr w:type="gramStart"/>
            <w:r w:rsidRPr="00D245BD">
              <w:rPr>
                <w:rFonts w:ascii="Times New Roman" w:hAnsi="Times New Roman" w:cs="Times New Roman"/>
              </w:rPr>
              <w:t>I(</w:t>
            </w:r>
            <w:proofErr w:type="gramEnd"/>
            <w:r w:rsidRPr="00D245BD">
              <w:rPr>
                <w:rFonts w:ascii="Times New Roman" w:hAnsi="Times New Roman" w:cs="Times New Roman"/>
              </w:rPr>
              <w:t>1)</w:t>
            </w:r>
          </w:p>
        </w:tc>
      </w:tr>
      <w:tr w:rsidR="008602CF" w:rsidRPr="00D245BD" w14:paraId="7C6E8732" w14:textId="77777777" w:rsidTr="0097401F">
        <w:trPr>
          <w:trHeight w:val="172"/>
        </w:trPr>
        <w:tc>
          <w:tcPr>
            <w:tcW w:w="1352" w:type="dxa"/>
          </w:tcPr>
          <w:p w14:paraId="2B7E677C" w14:textId="499AF95A"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GE</w:t>
            </w:r>
            <w:r w:rsidR="0097401F" w:rsidRPr="00D245BD">
              <w:rPr>
                <w:rFonts w:ascii="Times New Roman" w:hAnsi="Times New Roman" w:cs="Times New Roman"/>
              </w:rPr>
              <w:t>F</w:t>
            </w:r>
          </w:p>
        </w:tc>
        <w:tc>
          <w:tcPr>
            <w:tcW w:w="1295" w:type="dxa"/>
          </w:tcPr>
          <w:p w14:paraId="2B54BB8B"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-2.327**</w:t>
            </w:r>
          </w:p>
        </w:tc>
        <w:tc>
          <w:tcPr>
            <w:tcW w:w="1501" w:type="dxa"/>
          </w:tcPr>
          <w:p w14:paraId="6CAB7F83"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249" w:type="dxa"/>
          </w:tcPr>
          <w:p w14:paraId="0A47B164"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-5.184</w:t>
            </w:r>
          </w:p>
        </w:tc>
        <w:tc>
          <w:tcPr>
            <w:tcW w:w="1447" w:type="dxa"/>
          </w:tcPr>
          <w:p w14:paraId="7B6CF2E9" w14:textId="77777777" w:rsidR="008602CF" w:rsidRPr="00D245BD" w:rsidRDefault="008602CF" w:rsidP="0097401F">
            <w:pPr>
              <w:ind w:right="26"/>
              <w:jc w:val="both"/>
              <w:rPr>
                <w:rFonts w:ascii="Times New Roman" w:hAnsi="Times New Roman" w:cs="Times New Roman"/>
                <w:bCs/>
              </w:rPr>
            </w:pPr>
            <w:r w:rsidRPr="00D245BD">
              <w:rPr>
                <w:rFonts w:ascii="Times New Roman" w:hAnsi="Times New Roman" w:cs="Times New Roman"/>
              </w:rPr>
              <w:t>-2.11</w:t>
            </w:r>
          </w:p>
        </w:tc>
        <w:tc>
          <w:tcPr>
            <w:tcW w:w="1656" w:type="dxa"/>
          </w:tcPr>
          <w:p w14:paraId="1DAFCD95" w14:textId="77777777" w:rsidR="008602CF" w:rsidRPr="00D245BD" w:rsidRDefault="008602CF" w:rsidP="0097401F">
            <w:pPr>
              <w:ind w:right="26"/>
              <w:jc w:val="both"/>
              <w:rPr>
                <w:rFonts w:ascii="Times New Roman" w:hAnsi="Times New Roman" w:cs="Times New Roman"/>
              </w:rPr>
            </w:pPr>
            <w:proofErr w:type="gramStart"/>
            <w:r w:rsidRPr="00D245BD">
              <w:rPr>
                <w:rFonts w:ascii="Times New Roman" w:hAnsi="Times New Roman" w:cs="Times New Roman"/>
              </w:rPr>
              <w:t>I(</w:t>
            </w:r>
            <w:proofErr w:type="gramEnd"/>
            <w:r w:rsidRPr="00D245BD">
              <w:rPr>
                <w:rFonts w:ascii="Times New Roman" w:hAnsi="Times New Roman" w:cs="Times New Roman"/>
              </w:rPr>
              <w:t>0)</w:t>
            </w:r>
          </w:p>
        </w:tc>
      </w:tr>
      <w:tr w:rsidR="008602CF" w:rsidRPr="00D245BD" w14:paraId="4A765B10" w14:textId="77777777" w:rsidTr="0097401F">
        <w:trPr>
          <w:trHeight w:val="172"/>
        </w:trPr>
        <w:tc>
          <w:tcPr>
            <w:tcW w:w="1352" w:type="dxa"/>
          </w:tcPr>
          <w:p w14:paraId="3745809A" w14:textId="77777777"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COC</w:t>
            </w:r>
          </w:p>
        </w:tc>
        <w:tc>
          <w:tcPr>
            <w:tcW w:w="1295" w:type="dxa"/>
          </w:tcPr>
          <w:p w14:paraId="00635C1B"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-1.829</w:t>
            </w:r>
          </w:p>
        </w:tc>
        <w:tc>
          <w:tcPr>
            <w:tcW w:w="1501" w:type="dxa"/>
          </w:tcPr>
          <w:p w14:paraId="7ED12835"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249" w:type="dxa"/>
          </w:tcPr>
          <w:p w14:paraId="3900867F"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-5.232**</w:t>
            </w:r>
          </w:p>
        </w:tc>
        <w:tc>
          <w:tcPr>
            <w:tcW w:w="1447" w:type="dxa"/>
          </w:tcPr>
          <w:p w14:paraId="64348722"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656" w:type="dxa"/>
          </w:tcPr>
          <w:p w14:paraId="4E310AC1" w14:textId="77777777" w:rsidR="008602CF" w:rsidRPr="00D245BD" w:rsidRDefault="008602CF" w:rsidP="0097401F">
            <w:pPr>
              <w:ind w:right="26"/>
              <w:jc w:val="both"/>
              <w:rPr>
                <w:rFonts w:ascii="Times New Roman" w:hAnsi="Times New Roman" w:cs="Times New Roman"/>
              </w:rPr>
            </w:pPr>
            <w:proofErr w:type="gramStart"/>
            <w:r w:rsidRPr="00D245BD">
              <w:rPr>
                <w:rFonts w:ascii="Times New Roman" w:hAnsi="Times New Roman" w:cs="Times New Roman"/>
              </w:rPr>
              <w:t>I(</w:t>
            </w:r>
            <w:proofErr w:type="gramEnd"/>
            <w:r w:rsidRPr="00D245BD">
              <w:rPr>
                <w:rFonts w:ascii="Times New Roman" w:hAnsi="Times New Roman" w:cs="Times New Roman"/>
              </w:rPr>
              <w:t>1)</w:t>
            </w:r>
          </w:p>
        </w:tc>
      </w:tr>
      <w:tr w:rsidR="008602CF" w:rsidRPr="00D245BD" w14:paraId="1F389164" w14:textId="77777777" w:rsidTr="0097401F">
        <w:trPr>
          <w:trHeight w:val="172"/>
        </w:trPr>
        <w:tc>
          <w:tcPr>
            <w:tcW w:w="1352" w:type="dxa"/>
          </w:tcPr>
          <w:p w14:paraId="3990638F" w14:textId="595CDBDE" w:rsidR="008602CF" w:rsidRPr="00D245BD" w:rsidRDefault="008602CF" w:rsidP="0097401F">
            <w:pPr>
              <w:ind w:right="26"/>
              <w:jc w:val="center"/>
              <w:rPr>
                <w:rFonts w:ascii="Times New Roman" w:hAnsi="Times New Roman" w:cs="Times New Roman"/>
              </w:rPr>
            </w:pPr>
            <w:r w:rsidRPr="00D245BD">
              <w:rPr>
                <w:rFonts w:ascii="Times New Roman" w:hAnsi="Times New Roman" w:cs="Times New Roman"/>
              </w:rPr>
              <w:t>R</w:t>
            </w:r>
            <w:r w:rsidR="0097401F" w:rsidRPr="00D245BD">
              <w:rPr>
                <w:rFonts w:ascii="Times New Roman" w:hAnsi="Times New Roman" w:cs="Times New Roman"/>
              </w:rPr>
              <w:t>E</w:t>
            </w:r>
            <w:r w:rsidRPr="00D245BD">
              <w:rPr>
                <w:rFonts w:ascii="Times New Roman" w:hAnsi="Times New Roman" w:cs="Times New Roman"/>
              </w:rPr>
              <w:t>Q</w:t>
            </w:r>
          </w:p>
        </w:tc>
        <w:tc>
          <w:tcPr>
            <w:tcW w:w="1295" w:type="dxa"/>
          </w:tcPr>
          <w:p w14:paraId="73482A41" w14:textId="77777777" w:rsidR="008602CF" w:rsidRPr="00D245BD" w:rsidRDefault="008602CF" w:rsidP="0097401F">
            <w:pPr>
              <w:ind w:right="26"/>
              <w:jc w:val="both"/>
              <w:rPr>
                <w:rFonts w:ascii="Times New Roman" w:hAnsi="Times New Roman" w:cs="Times New Roman"/>
                <w:vertAlign w:val="superscript"/>
              </w:rPr>
            </w:pPr>
            <w:r w:rsidRPr="00D245BD">
              <w:rPr>
                <w:rFonts w:ascii="Times New Roman" w:hAnsi="Times New Roman" w:cs="Times New Roman"/>
              </w:rPr>
              <w:t>-2.115**</w:t>
            </w:r>
          </w:p>
        </w:tc>
        <w:tc>
          <w:tcPr>
            <w:tcW w:w="1501" w:type="dxa"/>
          </w:tcPr>
          <w:p w14:paraId="328A007E"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249" w:type="dxa"/>
          </w:tcPr>
          <w:p w14:paraId="7341A56E"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-5.577</w:t>
            </w:r>
          </w:p>
        </w:tc>
        <w:tc>
          <w:tcPr>
            <w:tcW w:w="1447" w:type="dxa"/>
          </w:tcPr>
          <w:p w14:paraId="38746DFD" w14:textId="77777777" w:rsidR="008602CF" w:rsidRPr="00D245BD" w:rsidRDefault="008602CF" w:rsidP="0097401F">
            <w:pPr>
              <w:ind w:right="26"/>
              <w:jc w:val="both"/>
              <w:rPr>
                <w:rFonts w:ascii="Times New Roman" w:hAnsi="Times New Roman" w:cs="Times New Roman"/>
              </w:rPr>
            </w:pPr>
            <w:r w:rsidRPr="00D245BD">
              <w:rPr>
                <w:rFonts w:ascii="Times New Roman" w:hAnsi="Times New Roman" w:cs="Times New Roman"/>
              </w:rPr>
              <w:t>-2.11</w:t>
            </w:r>
          </w:p>
        </w:tc>
        <w:tc>
          <w:tcPr>
            <w:tcW w:w="1656" w:type="dxa"/>
          </w:tcPr>
          <w:p w14:paraId="65AC54A8" w14:textId="77777777" w:rsidR="008602CF" w:rsidRPr="00D245BD" w:rsidRDefault="008602CF" w:rsidP="0097401F">
            <w:pPr>
              <w:ind w:right="26"/>
              <w:jc w:val="both"/>
              <w:rPr>
                <w:rFonts w:ascii="Times New Roman" w:hAnsi="Times New Roman" w:cs="Times New Roman"/>
              </w:rPr>
            </w:pPr>
            <w:proofErr w:type="gramStart"/>
            <w:r w:rsidRPr="00D245BD">
              <w:rPr>
                <w:rFonts w:ascii="Times New Roman" w:hAnsi="Times New Roman" w:cs="Times New Roman"/>
              </w:rPr>
              <w:t>I(</w:t>
            </w:r>
            <w:proofErr w:type="gramEnd"/>
            <w:r w:rsidRPr="00D245BD">
              <w:rPr>
                <w:rFonts w:ascii="Times New Roman" w:hAnsi="Times New Roman" w:cs="Times New Roman"/>
              </w:rPr>
              <w:t>0)</w:t>
            </w:r>
          </w:p>
        </w:tc>
      </w:tr>
    </w:tbl>
    <w:p w14:paraId="582E736E" w14:textId="77777777" w:rsidR="008602CF" w:rsidRPr="00D245BD" w:rsidRDefault="008602CF" w:rsidP="001F2FF8">
      <w:pPr>
        <w:spacing w:after="0" w:line="360" w:lineRule="auto"/>
        <w:jc w:val="both"/>
        <w:rPr>
          <w:rFonts w:ascii="Times New Roman" w:hAnsi="Times New Roman" w:cs="Times New Roman"/>
          <w:b/>
        </w:rPr>
      </w:pPr>
      <w:r w:rsidRPr="00D245BD">
        <w:rPr>
          <w:rFonts w:ascii="Times New Roman" w:hAnsi="Times New Roman" w:cs="Times New Roman"/>
          <w:b/>
        </w:rPr>
        <w:t>Source: Authors’ Computation Using STATA 17 (2026)</w:t>
      </w:r>
    </w:p>
    <w:p w14:paraId="090F3574" w14:textId="77777777" w:rsidR="008602CF" w:rsidRPr="00D245BD" w:rsidRDefault="008602CF" w:rsidP="001F2FF8">
      <w:pPr>
        <w:spacing w:after="0" w:line="360" w:lineRule="auto"/>
        <w:jc w:val="both"/>
        <w:rPr>
          <w:rFonts w:ascii="Times New Roman" w:hAnsi="Times New Roman" w:cs="Times New Roman"/>
          <w:b/>
          <w:bCs/>
          <w:i/>
        </w:rPr>
      </w:pPr>
      <w:r w:rsidRPr="00D245BD">
        <w:rPr>
          <w:rFonts w:ascii="Times New Roman" w:hAnsi="Times New Roman" w:cs="Times New Roman"/>
          <w:b/>
          <w:bCs/>
          <w:i/>
        </w:rPr>
        <w:t xml:space="preserve">Note: ** indicate level of stationarity at 5% </w:t>
      </w:r>
    </w:p>
    <w:p w14:paraId="7AF151AA" w14:textId="7221AC9A" w:rsidR="0097401F" w:rsidRPr="00D245BD" w:rsidRDefault="0097401F" w:rsidP="0097401F">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Based on the Cross-Sectional Augmented </w:t>
      </w:r>
      <w:proofErr w:type="spellStart"/>
      <w:r w:rsidRPr="00D245BD">
        <w:rPr>
          <w:rFonts w:ascii="Times New Roman" w:hAnsi="Times New Roman" w:cs="Times New Roman"/>
        </w:rPr>
        <w:t>Im</w:t>
      </w:r>
      <w:proofErr w:type="spellEnd"/>
      <w:r w:rsidRPr="00D245BD">
        <w:rPr>
          <w:rFonts w:ascii="Times New Roman" w:hAnsi="Times New Roman" w:cs="Times New Roman"/>
        </w:rPr>
        <w:t xml:space="preserve">, </w:t>
      </w:r>
      <w:proofErr w:type="spellStart"/>
      <w:r w:rsidRPr="00D245BD">
        <w:rPr>
          <w:rFonts w:ascii="Times New Roman" w:hAnsi="Times New Roman" w:cs="Times New Roman"/>
        </w:rPr>
        <w:t>Pesaran</w:t>
      </w:r>
      <w:proofErr w:type="spellEnd"/>
      <w:r w:rsidRPr="00D245BD">
        <w:rPr>
          <w:rFonts w:ascii="Times New Roman" w:hAnsi="Times New Roman" w:cs="Times New Roman"/>
        </w:rPr>
        <w:t xml:space="preserve"> and Shin (CIPS) panel unit root test results in Table 4.1, the variables exhibit mixed orders of integration after accounting for cross-sectional dependence. Private health expenditure (PHEX), government effectiveness (GEF), and regulatory quality (REQ) are stationary at levels, indicating they are integrated of order zero [</w:t>
      </w:r>
      <w:proofErr w:type="gramStart"/>
      <w:r w:rsidRPr="00D245BD">
        <w:rPr>
          <w:rFonts w:ascii="Times New Roman" w:hAnsi="Times New Roman" w:cs="Times New Roman"/>
        </w:rPr>
        <w:t>I(</w:t>
      </w:r>
      <w:proofErr w:type="gramEnd"/>
      <w:r w:rsidRPr="00D245BD">
        <w:rPr>
          <w:rFonts w:ascii="Times New Roman" w:hAnsi="Times New Roman" w:cs="Times New Roman"/>
        </w:rPr>
        <w:t>0)]. In contrast, life expectancy (LEX), government health expenditure (GHEX), and control of corruption (COC) become stationary after first differencing, implying they are integrated of order one [</w:t>
      </w:r>
      <w:proofErr w:type="gramStart"/>
      <w:r w:rsidRPr="00D245BD">
        <w:rPr>
          <w:rFonts w:ascii="Times New Roman" w:hAnsi="Times New Roman" w:cs="Times New Roman"/>
        </w:rPr>
        <w:t>I(</w:t>
      </w:r>
      <w:proofErr w:type="gramEnd"/>
      <w:r w:rsidRPr="00D245BD">
        <w:rPr>
          <w:rFonts w:ascii="Times New Roman" w:hAnsi="Times New Roman" w:cs="Times New Roman"/>
        </w:rPr>
        <w:t>1)] and follow stochastic trends.</w:t>
      </w:r>
    </w:p>
    <w:p w14:paraId="516698DC" w14:textId="2B3B7138" w:rsidR="008602CF" w:rsidRPr="00D245BD" w:rsidRDefault="008D1FD9" w:rsidP="001F2FF8">
      <w:pPr>
        <w:spacing w:after="0" w:line="360" w:lineRule="auto"/>
        <w:jc w:val="both"/>
        <w:rPr>
          <w:rFonts w:ascii="Times New Roman" w:hAnsi="Times New Roman" w:cs="Times New Roman"/>
        </w:rPr>
      </w:pPr>
      <w:r w:rsidRPr="00D245BD">
        <w:rPr>
          <w:rFonts w:ascii="Times New Roman" w:hAnsi="Times New Roman" w:cs="Times New Roman"/>
          <w:b/>
          <w:bCs/>
        </w:rPr>
        <w:t xml:space="preserve">4.2 </w:t>
      </w:r>
      <w:r w:rsidR="008602CF" w:rsidRPr="00D245BD">
        <w:rPr>
          <w:rFonts w:ascii="Times New Roman" w:hAnsi="Times New Roman" w:cs="Times New Roman"/>
          <w:b/>
          <w:bCs/>
        </w:rPr>
        <w:t>Choosing between Difference Generalized Method of Moments (GMM) and System Generalized Method of Moments (GMM)</w:t>
      </w:r>
    </w:p>
    <w:p w14:paraId="40738D60" w14:textId="77777777" w:rsidR="00D57B50" w:rsidRPr="00D245BD" w:rsidRDefault="00D57B50" w:rsidP="00D57B50">
      <w:pPr>
        <w:spacing w:after="0" w:line="360" w:lineRule="auto"/>
        <w:ind w:firstLine="720"/>
        <w:jc w:val="both"/>
        <w:rPr>
          <w:rFonts w:ascii="Times New Roman" w:hAnsi="Times New Roman" w:cs="Times New Roman"/>
        </w:rPr>
      </w:pPr>
      <w:r w:rsidRPr="00D245BD">
        <w:rPr>
          <w:rFonts w:ascii="Times New Roman" w:hAnsi="Times New Roman" w:cs="Times New Roman"/>
        </w:rPr>
        <w:t>The choice of the System GMM estimator is based on the rule of thumb proposed by</w:t>
      </w:r>
      <w:r w:rsidRPr="00D245BD">
        <w:rPr>
          <w:rStyle w:val="whitespace-normal"/>
          <w:rFonts w:ascii="Times New Roman" w:hAnsi="Times New Roman" w:cs="Times New Roman"/>
        </w:rPr>
        <w:t xml:space="preserve"> Bond</w:t>
      </w:r>
      <w:r w:rsidRPr="00D245BD">
        <w:rPr>
          <w:rFonts w:ascii="Times New Roman" w:hAnsi="Times New Roman" w:cs="Times New Roman"/>
        </w:rPr>
        <w:t xml:space="preserve"> (2002) for dynamic panel models. Bond recommends comparing pooled OLS, fixed effects (FE), and difference GMM estimates of the lagged dependent variable. While pooled OLS provides an upward-biased estimate and FE produces a downward-biased estimate due to Nickell bias, the difference GMM estimate should lie between them. Since the difference GMM estimate in this study was close to or below the FE estimate, indicating weak instruments, the System GMM estimator was adopted because it provides more efficient and reliable estimates by combining equations in levels and first differences.</w:t>
      </w:r>
    </w:p>
    <w:p w14:paraId="57161576" w14:textId="7D60D69D" w:rsidR="008602CF" w:rsidRPr="00D245BD" w:rsidRDefault="008602CF"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Following this procedure, the pooled OLS, fixed effects, and difference GMM estimates are first reported and compared in Tables 4.2 using life expectancy as response variable.</w:t>
      </w:r>
    </w:p>
    <w:p w14:paraId="07162E17" w14:textId="78F2CEF1" w:rsidR="00475D56" w:rsidRPr="00D245BD" w:rsidRDefault="00475D56" w:rsidP="001F2FF8">
      <w:pPr>
        <w:spacing w:after="0" w:line="360" w:lineRule="auto"/>
        <w:ind w:firstLine="720"/>
        <w:jc w:val="both"/>
        <w:rPr>
          <w:rFonts w:ascii="Times New Roman" w:hAnsi="Times New Roman" w:cs="Times New Roman"/>
        </w:rPr>
      </w:pPr>
    </w:p>
    <w:p w14:paraId="15F9E24C" w14:textId="2E6B4312" w:rsidR="00475D56" w:rsidRPr="00D245BD" w:rsidRDefault="00475D56" w:rsidP="001F2FF8">
      <w:pPr>
        <w:spacing w:after="0" w:line="360" w:lineRule="auto"/>
        <w:ind w:firstLine="720"/>
        <w:jc w:val="both"/>
        <w:rPr>
          <w:rFonts w:ascii="Times New Roman" w:hAnsi="Times New Roman" w:cs="Times New Roman"/>
        </w:rPr>
      </w:pPr>
    </w:p>
    <w:p w14:paraId="63F8CBA0" w14:textId="77777777" w:rsidR="00475D56" w:rsidRPr="00D245BD" w:rsidRDefault="00475D56" w:rsidP="001F2FF8">
      <w:pPr>
        <w:spacing w:after="0" w:line="360" w:lineRule="auto"/>
        <w:ind w:firstLine="720"/>
        <w:jc w:val="both"/>
        <w:rPr>
          <w:rFonts w:ascii="Times New Roman" w:hAnsi="Times New Roman" w:cs="Times New Roman"/>
        </w:rPr>
      </w:pPr>
    </w:p>
    <w:p w14:paraId="3AD81B11" w14:textId="77777777" w:rsidR="008602CF" w:rsidRPr="00D245BD" w:rsidRDefault="008602CF" w:rsidP="001F2FF8">
      <w:pPr>
        <w:spacing w:after="0" w:line="360" w:lineRule="auto"/>
        <w:jc w:val="both"/>
        <w:rPr>
          <w:rFonts w:ascii="Times New Roman" w:hAnsi="Times New Roman" w:cs="Times New Roman"/>
        </w:rPr>
      </w:pPr>
      <w:r w:rsidRPr="00D245BD">
        <w:rPr>
          <w:rFonts w:ascii="Times New Roman" w:hAnsi="Times New Roman" w:cs="Times New Roman"/>
          <w:b/>
          <w:bCs/>
        </w:rPr>
        <w:lastRenderedPageBreak/>
        <w:t xml:space="preserve">Table 4.2: Pooled OLS, Fixed Effect, and Difference GMM Results (LEX as response variable) </w:t>
      </w:r>
    </w:p>
    <w:tbl>
      <w:tblPr>
        <w:tblStyle w:val="TableGrid"/>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55"/>
        <w:gridCol w:w="1275"/>
        <w:gridCol w:w="1527"/>
        <w:gridCol w:w="1308"/>
        <w:gridCol w:w="1560"/>
        <w:gridCol w:w="1417"/>
      </w:tblGrid>
      <w:tr w:rsidR="008602CF" w:rsidRPr="00D245BD" w14:paraId="3E1B4C08" w14:textId="77777777" w:rsidTr="00D57B50">
        <w:trPr>
          <w:trHeight w:val="274"/>
          <w:jc w:val="center"/>
        </w:trPr>
        <w:tc>
          <w:tcPr>
            <w:tcW w:w="1555" w:type="dxa"/>
          </w:tcPr>
          <w:p w14:paraId="0F933FE2"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VARIABLES</w:t>
            </w:r>
          </w:p>
        </w:tc>
        <w:tc>
          <w:tcPr>
            <w:tcW w:w="1275" w:type="dxa"/>
          </w:tcPr>
          <w:p w14:paraId="1F067960"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Coefficient</w:t>
            </w:r>
          </w:p>
        </w:tc>
        <w:tc>
          <w:tcPr>
            <w:tcW w:w="1527" w:type="dxa"/>
          </w:tcPr>
          <w:p w14:paraId="566B1B29"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VARIABLES</w:t>
            </w:r>
          </w:p>
        </w:tc>
        <w:tc>
          <w:tcPr>
            <w:tcW w:w="1308" w:type="dxa"/>
          </w:tcPr>
          <w:p w14:paraId="65FDD214"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Coefficient</w:t>
            </w:r>
          </w:p>
        </w:tc>
        <w:tc>
          <w:tcPr>
            <w:tcW w:w="1560" w:type="dxa"/>
          </w:tcPr>
          <w:p w14:paraId="55712F78"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VARIABLES</w:t>
            </w:r>
          </w:p>
        </w:tc>
        <w:tc>
          <w:tcPr>
            <w:tcW w:w="1417" w:type="dxa"/>
          </w:tcPr>
          <w:p w14:paraId="7236DF24"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Coefficient</w:t>
            </w:r>
          </w:p>
        </w:tc>
      </w:tr>
      <w:tr w:rsidR="008602CF" w:rsidRPr="00D245BD" w14:paraId="0C64DFC7" w14:textId="77777777" w:rsidTr="00D57B50">
        <w:trPr>
          <w:trHeight w:val="274"/>
          <w:jc w:val="center"/>
        </w:trPr>
        <w:tc>
          <w:tcPr>
            <w:tcW w:w="2830" w:type="dxa"/>
            <w:gridSpan w:val="2"/>
          </w:tcPr>
          <w:p w14:paraId="3840B4BC"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Pool OLS Estimate</w:t>
            </w:r>
          </w:p>
        </w:tc>
        <w:tc>
          <w:tcPr>
            <w:tcW w:w="2835" w:type="dxa"/>
            <w:gridSpan w:val="2"/>
          </w:tcPr>
          <w:p w14:paraId="2562645E"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Fixed Effect Estimate</w:t>
            </w:r>
          </w:p>
        </w:tc>
        <w:tc>
          <w:tcPr>
            <w:tcW w:w="2977" w:type="dxa"/>
            <w:gridSpan w:val="2"/>
          </w:tcPr>
          <w:p w14:paraId="4AB13C58" w14:textId="77777777" w:rsidR="008602CF" w:rsidRPr="00D245BD" w:rsidRDefault="008602CF" w:rsidP="00D57B50">
            <w:pPr>
              <w:widowControl w:val="0"/>
              <w:autoSpaceDE w:val="0"/>
              <w:autoSpaceDN w:val="0"/>
              <w:adjustRightInd w:val="0"/>
              <w:jc w:val="both"/>
              <w:rPr>
                <w:rFonts w:ascii="Times New Roman" w:hAnsi="Times New Roman" w:cs="Times New Roman"/>
                <w:b/>
              </w:rPr>
            </w:pPr>
            <w:r w:rsidRPr="00D245BD">
              <w:rPr>
                <w:rFonts w:ascii="Times New Roman" w:hAnsi="Times New Roman" w:cs="Times New Roman"/>
                <w:b/>
              </w:rPr>
              <w:t>Difference GMM</w:t>
            </w:r>
          </w:p>
        </w:tc>
      </w:tr>
      <w:tr w:rsidR="008602CF" w:rsidRPr="00D245BD" w14:paraId="09D56F2A" w14:textId="77777777" w:rsidTr="00D57B50">
        <w:trPr>
          <w:trHeight w:val="274"/>
          <w:jc w:val="center"/>
        </w:trPr>
        <w:tc>
          <w:tcPr>
            <w:tcW w:w="1555" w:type="dxa"/>
          </w:tcPr>
          <w:p w14:paraId="14E986AC"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L.LEX</w:t>
            </w:r>
          </w:p>
        </w:tc>
        <w:tc>
          <w:tcPr>
            <w:tcW w:w="1275" w:type="dxa"/>
          </w:tcPr>
          <w:p w14:paraId="5DE042DC"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0.8917***</w:t>
            </w:r>
          </w:p>
        </w:tc>
        <w:tc>
          <w:tcPr>
            <w:tcW w:w="1527" w:type="dxa"/>
          </w:tcPr>
          <w:p w14:paraId="7F71CB9C"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L.LEX</w:t>
            </w:r>
          </w:p>
        </w:tc>
        <w:tc>
          <w:tcPr>
            <w:tcW w:w="1308" w:type="dxa"/>
          </w:tcPr>
          <w:p w14:paraId="4B9D09C5"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0.4822**</w:t>
            </w:r>
          </w:p>
        </w:tc>
        <w:tc>
          <w:tcPr>
            <w:tcW w:w="1560" w:type="dxa"/>
          </w:tcPr>
          <w:p w14:paraId="628CAC32"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L.LEX</w:t>
            </w:r>
          </w:p>
        </w:tc>
        <w:tc>
          <w:tcPr>
            <w:tcW w:w="1417" w:type="dxa"/>
          </w:tcPr>
          <w:p w14:paraId="49B6EE0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0.2186</w:t>
            </w:r>
          </w:p>
        </w:tc>
      </w:tr>
      <w:tr w:rsidR="008602CF" w:rsidRPr="00D245BD" w14:paraId="5471D6CA" w14:textId="77777777" w:rsidTr="00D57B50">
        <w:trPr>
          <w:trHeight w:val="274"/>
          <w:jc w:val="center"/>
        </w:trPr>
        <w:tc>
          <w:tcPr>
            <w:tcW w:w="1555" w:type="dxa"/>
          </w:tcPr>
          <w:p w14:paraId="5C1646B8"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5DA3DDFA"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(0.6472)</w:t>
            </w:r>
          </w:p>
        </w:tc>
        <w:tc>
          <w:tcPr>
            <w:tcW w:w="1527" w:type="dxa"/>
          </w:tcPr>
          <w:p w14:paraId="7287B78E"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5B99A677"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(0.1481)</w:t>
            </w:r>
          </w:p>
        </w:tc>
        <w:tc>
          <w:tcPr>
            <w:tcW w:w="1560" w:type="dxa"/>
          </w:tcPr>
          <w:p w14:paraId="30940204"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391E24AD"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(0.3233)</w:t>
            </w:r>
          </w:p>
        </w:tc>
      </w:tr>
      <w:tr w:rsidR="008602CF" w:rsidRPr="00D245BD" w14:paraId="32944DD8" w14:textId="77777777" w:rsidTr="00D57B50">
        <w:trPr>
          <w:trHeight w:val="274"/>
          <w:jc w:val="center"/>
        </w:trPr>
        <w:tc>
          <w:tcPr>
            <w:tcW w:w="1555" w:type="dxa"/>
          </w:tcPr>
          <w:p w14:paraId="2E49EA56" w14:textId="2334C17D"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275" w:type="dxa"/>
          </w:tcPr>
          <w:p w14:paraId="64AFAEB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-0.0025</w:t>
            </w:r>
          </w:p>
        </w:tc>
        <w:tc>
          <w:tcPr>
            <w:tcW w:w="1527" w:type="dxa"/>
          </w:tcPr>
          <w:p w14:paraId="42CFB67E" w14:textId="1091E50E"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308" w:type="dxa"/>
          </w:tcPr>
          <w:p w14:paraId="3598E933"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-0.0061</w:t>
            </w:r>
          </w:p>
        </w:tc>
        <w:tc>
          <w:tcPr>
            <w:tcW w:w="1560" w:type="dxa"/>
          </w:tcPr>
          <w:p w14:paraId="463712CF" w14:textId="43F86E21"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417" w:type="dxa"/>
          </w:tcPr>
          <w:p w14:paraId="49D95B67"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-0.0384*</w:t>
            </w:r>
          </w:p>
        </w:tc>
      </w:tr>
      <w:tr w:rsidR="008602CF" w:rsidRPr="00D245BD" w14:paraId="4616933F" w14:textId="77777777" w:rsidTr="00D57B50">
        <w:trPr>
          <w:trHeight w:val="290"/>
          <w:jc w:val="center"/>
        </w:trPr>
        <w:tc>
          <w:tcPr>
            <w:tcW w:w="1555" w:type="dxa"/>
          </w:tcPr>
          <w:p w14:paraId="7E7B1F9F"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547913E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(0.0032)</w:t>
            </w:r>
          </w:p>
        </w:tc>
        <w:tc>
          <w:tcPr>
            <w:tcW w:w="1527" w:type="dxa"/>
          </w:tcPr>
          <w:p w14:paraId="43FCF8DB"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5AE3BA08"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(0.0098)</w:t>
            </w:r>
          </w:p>
        </w:tc>
        <w:tc>
          <w:tcPr>
            <w:tcW w:w="1560" w:type="dxa"/>
          </w:tcPr>
          <w:p w14:paraId="6D64A1E4"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48A391A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(0.0239)</w:t>
            </w:r>
          </w:p>
        </w:tc>
      </w:tr>
      <w:tr w:rsidR="008602CF" w:rsidRPr="00D245BD" w14:paraId="27A98325" w14:textId="77777777" w:rsidTr="00D57B50">
        <w:trPr>
          <w:trHeight w:val="274"/>
          <w:jc w:val="center"/>
        </w:trPr>
        <w:tc>
          <w:tcPr>
            <w:tcW w:w="1555" w:type="dxa"/>
          </w:tcPr>
          <w:p w14:paraId="6B1BB5D8" w14:textId="3806DBEB"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275" w:type="dxa"/>
          </w:tcPr>
          <w:p w14:paraId="211C1722"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-0.0086</w:t>
            </w:r>
          </w:p>
        </w:tc>
        <w:tc>
          <w:tcPr>
            <w:tcW w:w="1527" w:type="dxa"/>
          </w:tcPr>
          <w:p w14:paraId="4DB029F9" w14:textId="35E3E96D"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308" w:type="dxa"/>
          </w:tcPr>
          <w:p w14:paraId="7A471F4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0.0381</w:t>
            </w:r>
          </w:p>
        </w:tc>
        <w:tc>
          <w:tcPr>
            <w:tcW w:w="1560" w:type="dxa"/>
          </w:tcPr>
          <w:p w14:paraId="1586ECBD" w14:textId="6B6911F3"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417" w:type="dxa"/>
          </w:tcPr>
          <w:p w14:paraId="7434C65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-0.3133*</w:t>
            </w:r>
          </w:p>
        </w:tc>
      </w:tr>
      <w:tr w:rsidR="008602CF" w:rsidRPr="00D245BD" w14:paraId="0CAD296D" w14:textId="77777777" w:rsidTr="00D57B50">
        <w:trPr>
          <w:trHeight w:val="274"/>
          <w:jc w:val="center"/>
        </w:trPr>
        <w:tc>
          <w:tcPr>
            <w:tcW w:w="1555" w:type="dxa"/>
          </w:tcPr>
          <w:p w14:paraId="2D18FB62"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3270A962"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(0.0239)</w:t>
            </w:r>
          </w:p>
        </w:tc>
        <w:tc>
          <w:tcPr>
            <w:tcW w:w="1527" w:type="dxa"/>
          </w:tcPr>
          <w:p w14:paraId="271ED2B8"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6486A692"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(0.0478)</w:t>
            </w:r>
          </w:p>
        </w:tc>
        <w:tc>
          <w:tcPr>
            <w:tcW w:w="1560" w:type="dxa"/>
          </w:tcPr>
          <w:p w14:paraId="1CB1250E"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52E740C8"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(0.1725)</w:t>
            </w:r>
          </w:p>
        </w:tc>
      </w:tr>
      <w:tr w:rsidR="008602CF" w:rsidRPr="00D245BD" w14:paraId="7CFA0D0D" w14:textId="77777777" w:rsidTr="00D57B50">
        <w:trPr>
          <w:trHeight w:val="274"/>
          <w:jc w:val="center"/>
        </w:trPr>
        <w:tc>
          <w:tcPr>
            <w:tcW w:w="1555" w:type="dxa"/>
          </w:tcPr>
          <w:p w14:paraId="166964AE" w14:textId="7A2FA1C8"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w:t>
            </w:r>
            <w:r w:rsidR="00D57B50" w:rsidRPr="00D245BD">
              <w:rPr>
                <w:rFonts w:ascii="Times New Roman" w:hAnsi="Times New Roman" w:cs="Times New Roman"/>
              </w:rPr>
              <w:t>F</w:t>
            </w:r>
          </w:p>
        </w:tc>
        <w:tc>
          <w:tcPr>
            <w:tcW w:w="1275" w:type="dxa"/>
          </w:tcPr>
          <w:p w14:paraId="644814FE"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0.0149*</w:t>
            </w:r>
          </w:p>
        </w:tc>
        <w:tc>
          <w:tcPr>
            <w:tcW w:w="1527" w:type="dxa"/>
          </w:tcPr>
          <w:p w14:paraId="3C5A2D70" w14:textId="037EBC3D"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w:t>
            </w:r>
            <w:r w:rsidR="00D57B50" w:rsidRPr="00D245BD">
              <w:rPr>
                <w:rFonts w:ascii="Times New Roman" w:hAnsi="Times New Roman" w:cs="Times New Roman"/>
              </w:rPr>
              <w:t>F</w:t>
            </w:r>
          </w:p>
        </w:tc>
        <w:tc>
          <w:tcPr>
            <w:tcW w:w="1308" w:type="dxa"/>
          </w:tcPr>
          <w:p w14:paraId="6A8E015E"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0.0039</w:t>
            </w:r>
          </w:p>
        </w:tc>
        <w:tc>
          <w:tcPr>
            <w:tcW w:w="1560" w:type="dxa"/>
          </w:tcPr>
          <w:p w14:paraId="64D771A0" w14:textId="38E275EA"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w:t>
            </w:r>
            <w:r w:rsidR="00D57B50" w:rsidRPr="00D245BD">
              <w:rPr>
                <w:rFonts w:ascii="Times New Roman" w:hAnsi="Times New Roman" w:cs="Times New Roman"/>
              </w:rPr>
              <w:t>F</w:t>
            </w:r>
          </w:p>
        </w:tc>
        <w:tc>
          <w:tcPr>
            <w:tcW w:w="1417" w:type="dxa"/>
          </w:tcPr>
          <w:p w14:paraId="382EF858"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0.0295</w:t>
            </w:r>
          </w:p>
        </w:tc>
      </w:tr>
      <w:tr w:rsidR="008602CF" w:rsidRPr="00D245BD" w14:paraId="69D3FBAA" w14:textId="77777777" w:rsidTr="00D57B50">
        <w:trPr>
          <w:trHeight w:val="274"/>
          <w:jc w:val="center"/>
        </w:trPr>
        <w:tc>
          <w:tcPr>
            <w:tcW w:w="1555" w:type="dxa"/>
          </w:tcPr>
          <w:p w14:paraId="1FD397B2"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136F57C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(0.0102)</w:t>
            </w:r>
          </w:p>
        </w:tc>
        <w:tc>
          <w:tcPr>
            <w:tcW w:w="1527" w:type="dxa"/>
          </w:tcPr>
          <w:p w14:paraId="3186B459"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17C1926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(0.0115)</w:t>
            </w:r>
          </w:p>
        </w:tc>
        <w:tc>
          <w:tcPr>
            <w:tcW w:w="1560" w:type="dxa"/>
          </w:tcPr>
          <w:p w14:paraId="781930C2"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7970720B"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(0.0513)</w:t>
            </w:r>
          </w:p>
        </w:tc>
      </w:tr>
      <w:tr w:rsidR="008602CF" w:rsidRPr="00D245BD" w14:paraId="6222E9D0" w14:textId="77777777" w:rsidTr="00D57B50">
        <w:trPr>
          <w:trHeight w:val="274"/>
          <w:jc w:val="center"/>
        </w:trPr>
        <w:tc>
          <w:tcPr>
            <w:tcW w:w="1555" w:type="dxa"/>
          </w:tcPr>
          <w:p w14:paraId="046AA9B7"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275" w:type="dxa"/>
          </w:tcPr>
          <w:p w14:paraId="0AFD75C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0.0053</w:t>
            </w:r>
          </w:p>
        </w:tc>
        <w:tc>
          <w:tcPr>
            <w:tcW w:w="1527" w:type="dxa"/>
          </w:tcPr>
          <w:p w14:paraId="389AF6EE"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308" w:type="dxa"/>
          </w:tcPr>
          <w:p w14:paraId="2BFFDA6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-0.0080</w:t>
            </w:r>
          </w:p>
        </w:tc>
        <w:tc>
          <w:tcPr>
            <w:tcW w:w="1560" w:type="dxa"/>
          </w:tcPr>
          <w:p w14:paraId="116BA33A" w14:textId="77777777"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417" w:type="dxa"/>
          </w:tcPr>
          <w:p w14:paraId="6961A5C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-0.0030</w:t>
            </w:r>
          </w:p>
        </w:tc>
      </w:tr>
      <w:tr w:rsidR="008602CF" w:rsidRPr="00D245BD" w14:paraId="27AF894B" w14:textId="77777777" w:rsidTr="00D57B50">
        <w:trPr>
          <w:trHeight w:val="274"/>
          <w:jc w:val="center"/>
        </w:trPr>
        <w:tc>
          <w:tcPr>
            <w:tcW w:w="1555" w:type="dxa"/>
          </w:tcPr>
          <w:p w14:paraId="7070B4D0"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275" w:type="dxa"/>
          </w:tcPr>
          <w:p w14:paraId="2ED5911D"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(0.0055)</w:t>
            </w:r>
          </w:p>
        </w:tc>
        <w:tc>
          <w:tcPr>
            <w:tcW w:w="1527" w:type="dxa"/>
          </w:tcPr>
          <w:p w14:paraId="522CE19F"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308" w:type="dxa"/>
          </w:tcPr>
          <w:p w14:paraId="1ED873AB"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(0.0151)</w:t>
            </w:r>
          </w:p>
        </w:tc>
        <w:tc>
          <w:tcPr>
            <w:tcW w:w="1560" w:type="dxa"/>
          </w:tcPr>
          <w:p w14:paraId="70DA37F7" w14:textId="77777777" w:rsidR="008602CF" w:rsidRPr="00D245BD" w:rsidRDefault="008602CF" w:rsidP="00D57B50">
            <w:pPr>
              <w:widowControl w:val="0"/>
              <w:autoSpaceDE w:val="0"/>
              <w:autoSpaceDN w:val="0"/>
              <w:adjustRightInd w:val="0"/>
              <w:jc w:val="center"/>
              <w:rPr>
                <w:rFonts w:ascii="Times New Roman" w:hAnsi="Times New Roman" w:cs="Times New Roman"/>
              </w:rPr>
            </w:pPr>
          </w:p>
        </w:tc>
        <w:tc>
          <w:tcPr>
            <w:tcW w:w="1417" w:type="dxa"/>
          </w:tcPr>
          <w:p w14:paraId="7EA1FE8E"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(0.0248)</w:t>
            </w:r>
          </w:p>
        </w:tc>
      </w:tr>
      <w:tr w:rsidR="008602CF" w:rsidRPr="00D245BD" w14:paraId="6DCCADF2" w14:textId="77777777" w:rsidTr="00D57B50">
        <w:trPr>
          <w:trHeight w:val="274"/>
          <w:jc w:val="center"/>
        </w:trPr>
        <w:tc>
          <w:tcPr>
            <w:tcW w:w="1555" w:type="dxa"/>
          </w:tcPr>
          <w:p w14:paraId="1432D7E4" w14:textId="105E6694"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w:t>
            </w:r>
            <w:r w:rsidR="00D57B50" w:rsidRPr="00D245BD">
              <w:rPr>
                <w:rFonts w:ascii="Times New Roman" w:hAnsi="Times New Roman" w:cs="Times New Roman"/>
              </w:rPr>
              <w:t>E</w:t>
            </w:r>
            <w:r w:rsidRPr="00D245BD">
              <w:rPr>
                <w:rFonts w:ascii="Times New Roman" w:hAnsi="Times New Roman" w:cs="Times New Roman"/>
              </w:rPr>
              <w:t>Q</w:t>
            </w:r>
          </w:p>
        </w:tc>
        <w:tc>
          <w:tcPr>
            <w:tcW w:w="1275" w:type="dxa"/>
          </w:tcPr>
          <w:p w14:paraId="7D9110E7"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-0.0095</w:t>
            </w:r>
          </w:p>
        </w:tc>
        <w:tc>
          <w:tcPr>
            <w:tcW w:w="1527" w:type="dxa"/>
          </w:tcPr>
          <w:p w14:paraId="41426E45" w14:textId="30082822"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w:t>
            </w:r>
            <w:r w:rsidR="00D57B50" w:rsidRPr="00D245BD">
              <w:rPr>
                <w:rFonts w:ascii="Times New Roman" w:hAnsi="Times New Roman" w:cs="Times New Roman"/>
              </w:rPr>
              <w:t>E</w:t>
            </w:r>
            <w:r w:rsidRPr="00D245BD">
              <w:rPr>
                <w:rFonts w:ascii="Times New Roman" w:hAnsi="Times New Roman" w:cs="Times New Roman"/>
              </w:rPr>
              <w:t>Q</w:t>
            </w:r>
          </w:p>
        </w:tc>
        <w:tc>
          <w:tcPr>
            <w:tcW w:w="1308" w:type="dxa"/>
          </w:tcPr>
          <w:p w14:paraId="2C8D2CC0"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0.0150</w:t>
            </w:r>
          </w:p>
        </w:tc>
        <w:tc>
          <w:tcPr>
            <w:tcW w:w="1560" w:type="dxa"/>
          </w:tcPr>
          <w:p w14:paraId="3EFA99DE" w14:textId="62D2555E" w:rsidR="008602CF" w:rsidRPr="00D245BD" w:rsidRDefault="008602CF" w:rsidP="00D57B50">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w:t>
            </w:r>
            <w:r w:rsidR="00D57B50" w:rsidRPr="00D245BD">
              <w:rPr>
                <w:rFonts w:ascii="Times New Roman" w:hAnsi="Times New Roman" w:cs="Times New Roman"/>
              </w:rPr>
              <w:t>E</w:t>
            </w:r>
            <w:r w:rsidRPr="00D245BD">
              <w:rPr>
                <w:rFonts w:ascii="Times New Roman" w:hAnsi="Times New Roman" w:cs="Times New Roman"/>
              </w:rPr>
              <w:t>Q</w:t>
            </w:r>
          </w:p>
        </w:tc>
        <w:tc>
          <w:tcPr>
            <w:tcW w:w="1417" w:type="dxa"/>
          </w:tcPr>
          <w:p w14:paraId="2EEDA48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-0.0301</w:t>
            </w:r>
          </w:p>
        </w:tc>
      </w:tr>
      <w:tr w:rsidR="008602CF" w:rsidRPr="00D245BD" w14:paraId="4A47991F" w14:textId="77777777" w:rsidTr="00D57B50">
        <w:trPr>
          <w:trHeight w:val="274"/>
          <w:jc w:val="center"/>
        </w:trPr>
        <w:tc>
          <w:tcPr>
            <w:tcW w:w="1555" w:type="dxa"/>
          </w:tcPr>
          <w:p w14:paraId="603A08E2" w14:textId="77777777" w:rsidR="008602CF" w:rsidRPr="00D245BD" w:rsidRDefault="008602CF" w:rsidP="00D57B50">
            <w:pPr>
              <w:widowControl w:val="0"/>
              <w:autoSpaceDE w:val="0"/>
              <w:autoSpaceDN w:val="0"/>
              <w:adjustRightInd w:val="0"/>
              <w:jc w:val="both"/>
              <w:rPr>
                <w:rFonts w:ascii="Times New Roman" w:hAnsi="Times New Roman" w:cs="Times New Roman"/>
              </w:rPr>
            </w:pPr>
          </w:p>
        </w:tc>
        <w:tc>
          <w:tcPr>
            <w:tcW w:w="1275" w:type="dxa"/>
          </w:tcPr>
          <w:p w14:paraId="2D73BC91"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(0.0097)</w:t>
            </w:r>
          </w:p>
        </w:tc>
        <w:tc>
          <w:tcPr>
            <w:tcW w:w="1527" w:type="dxa"/>
          </w:tcPr>
          <w:p w14:paraId="4C15C0D2" w14:textId="77777777" w:rsidR="008602CF" w:rsidRPr="00D245BD" w:rsidRDefault="008602CF" w:rsidP="00D57B50">
            <w:pPr>
              <w:widowControl w:val="0"/>
              <w:autoSpaceDE w:val="0"/>
              <w:autoSpaceDN w:val="0"/>
              <w:adjustRightInd w:val="0"/>
              <w:jc w:val="both"/>
              <w:rPr>
                <w:rFonts w:ascii="Times New Roman" w:hAnsi="Times New Roman" w:cs="Times New Roman"/>
              </w:rPr>
            </w:pPr>
          </w:p>
        </w:tc>
        <w:tc>
          <w:tcPr>
            <w:tcW w:w="1308" w:type="dxa"/>
          </w:tcPr>
          <w:p w14:paraId="79931054"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(0.0249)</w:t>
            </w:r>
          </w:p>
        </w:tc>
        <w:tc>
          <w:tcPr>
            <w:tcW w:w="1560" w:type="dxa"/>
          </w:tcPr>
          <w:p w14:paraId="19E650C4" w14:textId="77777777" w:rsidR="008602CF" w:rsidRPr="00D245BD" w:rsidRDefault="008602CF" w:rsidP="00D57B50">
            <w:pPr>
              <w:widowControl w:val="0"/>
              <w:autoSpaceDE w:val="0"/>
              <w:autoSpaceDN w:val="0"/>
              <w:adjustRightInd w:val="0"/>
              <w:jc w:val="both"/>
              <w:rPr>
                <w:rFonts w:ascii="Times New Roman" w:hAnsi="Times New Roman" w:cs="Times New Roman"/>
              </w:rPr>
            </w:pPr>
          </w:p>
        </w:tc>
        <w:tc>
          <w:tcPr>
            <w:tcW w:w="1417" w:type="dxa"/>
          </w:tcPr>
          <w:p w14:paraId="33B5388F" w14:textId="77777777" w:rsidR="008602CF" w:rsidRPr="00D245BD" w:rsidRDefault="008602CF" w:rsidP="00D57B50">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(0.1157)</w:t>
            </w:r>
          </w:p>
        </w:tc>
      </w:tr>
    </w:tbl>
    <w:p w14:paraId="37CA0591" w14:textId="77777777" w:rsidR="008602CF" w:rsidRPr="00D245BD" w:rsidRDefault="008602CF" w:rsidP="001F2FF8">
      <w:pPr>
        <w:spacing w:after="0" w:line="360" w:lineRule="auto"/>
        <w:jc w:val="both"/>
        <w:rPr>
          <w:rFonts w:ascii="Times New Roman" w:hAnsi="Times New Roman" w:cs="Times New Roman"/>
          <w:b/>
        </w:rPr>
      </w:pPr>
      <w:r w:rsidRPr="00D245BD">
        <w:rPr>
          <w:rFonts w:ascii="Times New Roman" w:hAnsi="Times New Roman" w:cs="Times New Roman"/>
          <w:b/>
        </w:rPr>
        <w:t>Source: Authors’ Computation Using STATA 17 (2026)</w:t>
      </w:r>
    </w:p>
    <w:p w14:paraId="5C445434" w14:textId="77777777" w:rsidR="008602CF" w:rsidRPr="00D245BD" w:rsidRDefault="008602CF" w:rsidP="001F2FF8">
      <w:pPr>
        <w:widowControl w:val="0"/>
        <w:autoSpaceDE w:val="0"/>
        <w:autoSpaceDN w:val="0"/>
        <w:adjustRightInd w:val="0"/>
        <w:spacing w:after="0" w:line="360" w:lineRule="auto"/>
        <w:jc w:val="both"/>
        <w:rPr>
          <w:rFonts w:ascii="Times New Roman" w:hAnsi="Times New Roman" w:cs="Times New Roman"/>
          <w:b/>
          <w:bCs/>
        </w:rPr>
      </w:pPr>
      <w:r w:rsidRPr="00D245BD">
        <w:rPr>
          <w:rFonts w:ascii="Times New Roman" w:hAnsi="Times New Roman" w:cs="Times New Roman"/>
          <w:b/>
          <w:bCs/>
        </w:rPr>
        <w:t>Robust standard errors in parentheses</w:t>
      </w:r>
    </w:p>
    <w:p w14:paraId="445F4880" w14:textId="77777777" w:rsidR="008602CF" w:rsidRPr="00D245BD" w:rsidRDefault="008602CF" w:rsidP="001F2FF8">
      <w:pPr>
        <w:widowControl w:val="0"/>
        <w:autoSpaceDE w:val="0"/>
        <w:autoSpaceDN w:val="0"/>
        <w:adjustRightInd w:val="0"/>
        <w:spacing w:after="0" w:line="360" w:lineRule="auto"/>
        <w:jc w:val="both"/>
        <w:rPr>
          <w:rFonts w:ascii="Times New Roman" w:hAnsi="Times New Roman" w:cs="Times New Roman"/>
          <w:b/>
          <w:bCs/>
        </w:rPr>
      </w:pPr>
      <w:r w:rsidRPr="00D245BD">
        <w:rPr>
          <w:rFonts w:ascii="Times New Roman" w:hAnsi="Times New Roman" w:cs="Times New Roman"/>
          <w:b/>
          <w:bCs/>
        </w:rPr>
        <w:t>*** p&lt;0.01, ** p&lt;0.05, * p&lt;0.1</w:t>
      </w:r>
    </w:p>
    <w:p w14:paraId="5195403A" w14:textId="77777777" w:rsidR="00D57B50" w:rsidRPr="00D245BD" w:rsidRDefault="00D57B50" w:rsidP="00D57B50">
      <w:pPr>
        <w:spacing w:after="0" w:line="360" w:lineRule="auto"/>
        <w:ind w:firstLine="720"/>
        <w:jc w:val="both"/>
        <w:rPr>
          <w:rFonts w:ascii="Times New Roman" w:hAnsi="Times New Roman" w:cs="Times New Roman"/>
        </w:rPr>
      </w:pPr>
      <w:r w:rsidRPr="00D245BD">
        <w:rPr>
          <w:rFonts w:ascii="Times New Roman" w:hAnsi="Times New Roman" w:cs="Times New Roman"/>
        </w:rPr>
        <w:t>The pooled OLS results in Table 4.2 show a lagged life expectancy (LEX) coefficient of 0.8917, while the fixed effects (FE) estimate is lower at 0.4822. The difference GMM estimate is even smaller at 0.2186. Following</w:t>
      </w:r>
      <w:r w:rsidRPr="00D245BD">
        <w:rPr>
          <w:rStyle w:val="whitespace-normal"/>
          <w:rFonts w:ascii="Times New Roman" w:hAnsi="Times New Roman" w:cs="Times New Roman"/>
        </w:rPr>
        <w:t xml:space="preserve"> Bond</w:t>
      </w:r>
      <w:r w:rsidRPr="00D245BD">
        <w:rPr>
          <w:rFonts w:ascii="Times New Roman" w:hAnsi="Times New Roman" w:cs="Times New Roman"/>
        </w:rPr>
        <w:t xml:space="preserve"> (2002), a difference GMM coefficient below the FE estimate indicates weak instruments and downward bias, thereby justifying the use of the System GMM estimator. Consequently, the study adopts the one-step System GMM approach, which is more robust in finite samples, less prone to instrument proliferation, and more reliable given the relatively large time dimension (T = 25).</w:t>
      </w:r>
    </w:p>
    <w:p w14:paraId="6B464B79" w14:textId="721657FA" w:rsidR="002E559A" w:rsidRPr="00D245BD" w:rsidRDefault="008D1FD9" w:rsidP="001F2FF8">
      <w:pPr>
        <w:spacing w:after="0" w:line="360" w:lineRule="auto"/>
        <w:jc w:val="both"/>
        <w:rPr>
          <w:rFonts w:ascii="Times New Roman" w:hAnsi="Times New Roman" w:cs="Times New Roman"/>
        </w:rPr>
      </w:pPr>
      <w:r w:rsidRPr="00D245BD">
        <w:rPr>
          <w:rFonts w:ascii="Times New Roman" w:hAnsi="Times New Roman" w:cs="Times New Roman"/>
          <w:b/>
          <w:bCs/>
        </w:rPr>
        <w:t xml:space="preserve">4.3 </w:t>
      </w:r>
      <w:r w:rsidR="002E559A" w:rsidRPr="00D245BD">
        <w:rPr>
          <w:rFonts w:ascii="Times New Roman" w:hAnsi="Times New Roman" w:cs="Times New Roman"/>
          <w:b/>
          <w:bCs/>
        </w:rPr>
        <w:t>Interactive impact of health expenditure and institutional quality on life expectancy in Sub-Saharan Africa</w:t>
      </w:r>
    </w:p>
    <w:p w14:paraId="10327B90" w14:textId="0D24A77C" w:rsidR="002E559A" w:rsidRPr="00D245BD" w:rsidRDefault="002E559A" w:rsidP="001F2FF8">
      <w:pPr>
        <w:spacing w:after="0" w:line="360" w:lineRule="auto"/>
        <w:ind w:firstLine="720"/>
        <w:jc w:val="both"/>
        <w:rPr>
          <w:rFonts w:ascii="Times New Roman" w:hAnsi="Times New Roman" w:cs="Times New Roman"/>
        </w:rPr>
      </w:pPr>
      <w:r w:rsidRPr="00D245BD">
        <w:rPr>
          <w:rFonts w:ascii="Times New Roman" w:hAnsi="Times New Roman" w:cs="Times New Roman"/>
        </w:rPr>
        <w:t xml:space="preserve">This study incorporates multiple interaction terms within a single model to more fully capture the complexities of how </w:t>
      </w:r>
      <w:r w:rsidR="001649EF" w:rsidRPr="00D245BD">
        <w:rPr>
          <w:rFonts w:ascii="Times New Roman" w:eastAsia="Times New Roman" w:hAnsi="Times New Roman" w:cs="Times New Roman"/>
          <w:lang w:eastAsia="en-NG"/>
        </w:rPr>
        <w:t>life expectancy</w:t>
      </w:r>
      <w:r w:rsidRPr="00D245BD">
        <w:rPr>
          <w:rFonts w:ascii="Times New Roman" w:eastAsia="Times New Roman" w:hAnsi="Times New Roman" w:cs="Times New Roman"/>
          <w:lang w:eastAsia="en-NG"/>
        </w:rPr>
        <w:t xml:space="preserve"> </w:t>
      </w:r>
      <w:r w:rsidR="00B04A03" w:rsidRPr="00D245BD">
        <w:rPr>
          <w:rFonts w:ascii="Times New Roman" w:eastAsia="Times New Roman" w:hAnsi="Times New Roman" w:cs="Times New Roman"/>
          <w:lang w:eastAsia="en-NG"/>
        </w:rPr>
        <w:t>is</w:t>
      </w:r>
      <w:r w:rsidRPr="00D245BD">
        <w:rPr>
          <w:rFonts w:ascii="Times New Roman" w:eastAsia="Times New Roman" w:hAnsi="Times New Roman" w:cs="Times New Roman"/>
          <w:lang w:eastAsia="en-NG"/>
        </w:rPr>
        <w:t xml:space="preserve"> influenced by the combined impact of institutional framework strength and health </w:t>
      </w:r>
      <w:r w:rsidR="001649EF" w:rsidRPr="00D245BD">
        <w:rPr>
          <w:rFonts w:ascii="Times New Roman" w:eastAsia="Times New Roman" w:hAnsi="Times New Roman" w:cs="Times New Roman"/>
          <w:lang w:eastAsia="en-NG"/>
        </w:rPr>
        <w:t>expenditure</w:t>
      </w:r>
      <w:r w:rsidRPr="00D245BD">
        <w:rPr>
          <w:rFonts w:ascii="Times New Roman" w:eastAsia="Times New Roman" w:hAnsi="Times New Roman" w:cs="Times New Roman"/>
          <w:lang w:eastAsia="en-NG"/>
        </w:rPr>
        <w:t>, providing insights into whether increases in institutional quality increase the efficiency of health expenditure in increasing life expectancy</w:t>
      </w:r>
      <w:r w:rsidRPr="00D245BD">
        <w:rPr>
          <w:rFonts w:ascii="Times New Roman" w:hAnsi="Times New Roman" w:cs="Times New Roman"/>
        </w:rPr>
        <w:t xml:space="preserve">. </w:t>
      </w:r>
      <w:r w:rsidRPr="00D245BD">
        <w:rPr>
          <w:rFonts w:ascii="Times New Roman" w:eastAsia="Times New Roman" w:hAnsi="Times New Roman" w:cs="Times New Roman"/>
          <w:lang w:eastAsia="en-NG"/>
        </w:rPr>
        <w:t>The results obtained from investigating the combined impact of health expenditure and institutional quality on life expectancy are shown in Table 4.</w:t>
      </w:r>
      <w:r w:rsidR="00A81654" w:rsidRPr="00D245BD">
        <w:rPr>
          <w:rFonts w:ascii="Times New Roman" w:eastAsia="Times New Roman" w:hAnsi="Times New Roman" w:cs="Times New Roman"/>
          <w:lang w:eastAsia="en-NG"/>
        </w:rPr>
        <w:t>3</w:t>
      </w:r>
    </w:p>
    <w:p w14:paraId="6D8B80AE" w14:textId="46E9BE93" w:rsidR="002E559A" w:rsidRPr="00D245BD" w:rsidRDefault="002E559A" w:rsidP="001F2FF8">
      <w:pPr>
        <w:spacing w:after="0" w:line="360" w:lineRule="auto"/>
        <w:jc w:val="both"/>
        <w:rPr>
          <w:rFonts w:ascii="Times New Roman" w:hAnsi="Times New Roman" w:cs="Times New Roman"/>
          <w:b/>
          <w:bCs/>
          <w:shd w:val="clear" w:color="auto" w:fill="FFFFFF"/>
        </w:rPr>
      </w:pPr>
      <w:r w:rsidRPr="00D245BD">
        <w:rPr>
          <w:rFonts w:ascii="Times New Roman" w:hAnsi="Times New Roman" w:cs="Times New Roman"/>
          <w:b/>
          <w:shd w:val="clear" w:color="auto" w:fill="FFFFFF"/>
        </w:rPr>
        <w:t xml:space="preserve">Table </w:t>
      </w:r>
      <w:r w:rsidRPr="00D245BD">
        <w:rPr>
          <w:rFonts w:ascii="Times New Roman" w:hAnsi="Times New Roman" w:cs="Times New Roman"/>
          <w:b/>
        </w:rPr>
        <w:t>4</w:t>
      </w:r>
      <w:r w:rsidR="00A81654" w:rsidRPr="00D245BD">
        <w:rPr>
          <w:rFonts w:ascii="Times New Roman" w:hAnsi="Times New Roman" w:cs="Times New Roman"/>
          <w:b/>
        </w:rPr>
        <w:t>.3</w:t>
      </w:r>
      <w:r w:rsidRPr="00D245BD">
        <w:rPr>
          <w:rFonts w:ascii="Times New Roman" w:hAnsi="Times New Roman" w:cs="Times New Roman"/>
          <w:b/>
          <w:shd w:val="clear" w:color="auto" w:fill="FFFFFF"/>
        </w:rPr>
        <w:t xml:space="preserve">: </w:t>
      </w:r>
      <w:r w:rsidRPr="00D245BD">
        <w:rPr>
          <w:rFonts w:ascii="Times New Roman" w:eastAsia="Times New Roman" w:hAnsi="Times New Roman" w:cs="Times New Roman"/>
          <w:b/>
          <w:bCs/>
          <w:lang w:eastAsia="en-NG"/>
        </w:rPr>
        <w:t>Generalized Method of Moments (GMM)</w:t>
      </w:r>
      <w:r w:rsidRPr="00D245BD">
        <w:rPr>
          <w:rFonts w:ascii="Times New Roman" w:hAnsi="Times New Roman" w:cs="Times New Roman"/>
          <w:b/>
          <w:bCs/>
          <w:shd w:val="clear" w:color="auto" w:fill="FFFFFF"/>
        </w:rPr>
        <w:t xml:space="preserve"> test result of the interactive impact of health expenditure and institutional quality on life expectancy in Sub-Saharan Africa</w:t>
      </w:r>
    </w:p>
    <w:tbl>
      <w:tblPr>
        <w:tblStyle w:val="TableGrid"/>
        <w:tblW w:w="8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1728"/>
        <w:gridCol w:w="2241"/>
        <w:gridCol w:w="1728"/>
      </w:tblGrid>
      <w:tr w:rsidR="001649EF" w:rsidRPr="00D245BD" w14:paraId="39EDB7D4" w14:textId="77777777" w:rsidTr="007534E7">
        <w:tc>
          <w:tcPr>
            <w:tcW w:w="3114" w:type="dxa"/>
          </w:tcPr>
          <w:p w14:paraId="2261C4D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VARIABLES</w:t>
            </w:r>
          </w:p>
        </w:tc>
        <w:tc>
          <w:tcPr>
            <w:tcW w:w="1728" w:type="dxa"/>
          </w:tcPr>
          <w:p w14:paraId="1BC8299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Coefficient</w:t>
            </w:r>
          </w:p>
        </w:tc>
        <w:tc>
          <w:tcPr>
            <w:tcW w:w="2241" w:type="dxa"/>
          </w:tcPr>
          <w:p w14:paraId="68F0716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Standard Errors</w:t>
            </w:r>
          </w:p>
        </w:tc>
        <w:tc>
          <w:tcPr>
            <w:tcW w:w="1728" w:type="dxa"/>
          </w:tcPr>
          <w:p w14:paraId="6B3A62D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Prob</w:t>
            </w:r>
          </w:p>
        </w:tc>
      </w:tr>
      <w:tr w:rsidR="001649EF" w:rsidRPr="00D245BD" w14:paraId="37443661" w14:textId="77777777" w:rsidTr="007534E7">
        <w:tc>
          <w:tcPr>
            <w:tcW w:w="3114" w:type="dxa"/>
          </w:tcPr>
          <w:p w14:paraId="6FB21A0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L. LEX</w:t>
            </w:r>
          </w:p>
        </w:tc>
        <w:tc>
          <w:tcPr>
            <w:tcW w:w="1728" w:type="dxa"/>
          </w:tcPr>
          <w:p w14:paraId="1E9C77F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-0.017279</w:t>
            </w:r>
          </w:p>
        </w:tc>
        <w:tc>
          <w:tcPr>
            <w:tcW w:w="2241" w:type="dxa"/>
          </w:tcPr>
          <w:p w14:paraId="73B35C9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0.0517299</w:t>
            </w:r>
          </w:p>
        </w:tc>
        <w:tc>
          <w:tcPr>
            <w:tcW w:w="1728" w:type="dxa"/>
          </w:tcPr>
          <w:p w14:paraId="42F4754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0.738</w:t>
            </w:r>
          </w:p>
        </w:tc>
      </w:tr>
      <w:tr w:rsidR="001649EF" w:rsidRPr="00D245BD" w14:paraId="139C1B60" w14:textId="77777777" w:rsidTr="007534E7">
        <w:tc>
          <w:tcPr>
            <w:tcW w:w="3114" w:type="dxa"/>
          </w:tcPr>
          <w:p w14:paraId="4EE6FE4E"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w:t>
            </w:r>
          </w:p>
        </w:tc>
        <w:tc>
          <w:tcPr>
            <w:tcW w:w="1728" w:type="dxa"/>
          </w:tcPr>
          <w:p w14:paraId="0EB6D2B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0.1163122***</w:t>
            </w:r>
          </w:p>
        </w:tc>
        <w:tc>
          <w:tcPr>
            <w:tcW w:w="2241" w:type="dxa"/>
          </w:tcPr>
          <w:p w14:paraId="16BEDBA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0.0171699</w:t>
            </w:r>
          </w:p>
        </w:tc>
        <w:tc>
          <w:tcPr>
            <w:tcW w:w="1728" w:type="dxa"/>
          </w:tcPr>
          <w:p w14:paraId="32FC497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7DA52DD9" w14:textId="77777777" w:rsidTr="007534E7">
        <w:tc>
          <w:tcPr>
            <w:tcW w:w="3114" w:type="dxa"/>
          </w:tcPr>
          <w:p w14:paraId="66D2F8FB"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w:t>
            </w:r>
          </w:p>
        </w:tc>
        <w:tc>
          <w:tcPr>
            <w:tcW w:w="1728" w:type="dxa"/>
          </w:tcPr>
          <w:p w14:paraId="46A69D7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0.9542918***</w:t>
            </w:r>
          </w:p>
        </w:tc>
        <w:tc>
          <w:tcPr>
            <w:tcW w:w="2241" w:type="dxa"/>
          </w:tcPr>
          <w:p w14:paraId="00F471E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0.1464715</w:t>
            </w:r>
          </w:p>
        </w:tc>
        <w:tc>
          <w:tcPr>
            <w:tcW w:w="1728" w:type="dxa"/>
          </w:tcPr>
          <w:p w14:paraId="3CC21B7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5C67909A" w14:textId="77777777" w:rsidTr="007534E7">
        <w:tc>
          <w:tcPr>
            <w:tcW w:w="3114" w:type="dxa"/>
          </w:tcPr>
          <w:p w14:paraId="752338F5"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GEF</w:t>
            </w:r>
          </w:p>
        </w:tc>
        <w:tc>
          <w:tcPr>
            <w:tcW w:w="1728" w:type="dxa"/>
          </w:tcPr>
          <w:p w14:paraId="634D0BE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-0.9804773***</w:t>
            </w:r>
          </w:p>
        </w:tc>
        <w:tc>
          <w:tcPr>
            <w:tcW w:w="2241" w:type="dxa"/>
          </w:tcPr>
          <w:p w14:paraId="1DCEBBB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0.154085</w:t>
            </w:r>
          </w:p>
        </w:tc>
        <w:tc>
          <w:tcPr>
            <w:tcW w:w="1728" w:type="dxa"/>
          </w:tcPr>
          <w:p w14:paraId="1F034B2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35DB3A93" w14:textId="77777777" w:rsidTr="007534E7">
        <w:tc>
          <w:tcPr>
            <w:tcW w:w="3114" w:type="dxa"/>
          </w:tcPr>
          <w:p w14:paraId="0C2357F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COC</w:t>
            </w:r>
          </w:p>
        </w:tc>
        <w:tc>
          <w:tcPr>
            <w:tcW w:w="1728" w:type="dxa"/>
          </w:tcPr>
          <w:p w14:paraId="42F14C8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-0.0129796</w:t>
            </w:r>
          </w:p>
        </w:tc>
        <w:tc>
          <w:tcPr>
            <w:tcW w:w="2241" w:type="dxa"/>
          </w:tcPr>
          <w:p w14:paraId="3E12D08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0.0343059</w:t>
            </w:r>
          </w:p>
        </w:tc>
        <w:tc>
          <w:tcPr>
            <w:tcW w:w="1728" w:type="dxa"/>
          </w:tcPr>
          <w:p w14:paraId="72D6CF4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0.705</w:t>
            </w:r>
          </w:p>
        </w:tc>
      </w:tr>
      <w:tr w:rsidR="001649EF" w:rsidRPr="00D245BD" w14:paraId="2A0B99BE" w14:textId="77777777" w:rsidTr="007534E7">
        <w:tc>
          <w:tcPr>
            <w:tcW w:w="3114" w:type="dxa"/>
          </w:tcPr>
          <w:p w14:paraId="3662FA6F"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REQ</w:t>
            </w:r>
          </w:p>
        </w:tc>
        <w:tc>
          <w:tcPr>
            <w:tcW w:w="1728" w:type="dxa"/>
          </w:tcPr>
          <w:p w14:paraId="0E2E56C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1.428138***</w:t>
            </w:r>
          </w:p>
        </w:tc>
        <w:tc>
          <w:tcPr>
            <w:tcW w:w="2241" w:type="dxa"/>
          </w:tcPr>
          <w:p w14:paraId="22C4040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0.1957056</w:t>
            </w:r>
          </w:p>
        </w:tc>
        <w:tc>
          <w:tcPr>
            <w:tcW w:w="1728" w:type="dxa"/>
          </w:tcPr>
          <w:p w14:paraId="54DC7F4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F729797" w14:textId="77777777" w:rsidTr="007534E7">
        <w:tc>
          <w:tcPr>
            <w:tcW w:w="3114" w:type="dxa"/>
          </w:tcPr>
          <w:p w14:paraId="1A15C46D"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GHEX*GEF</w:t>
            </w:r>
          </w:p>
        </w:tc>
        <w:tc>
          <w:tcPr>
            <w:tcW w:w="1728" w:type="dxa"/>
          </w:tcPr>
          <w:p w14:paraId="501D382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0.0759453***</w:t>
            </w:r>
          </w:p>
        </w:tc>
        <w:tc>
          <w:tcPr>
            <w:tcW w:w="2241" w:type="dxa"/>
          </w:tcPr>
          <w:p w14:paraId="0BFF1C1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0.0101465</w:t>
            </w:r>
          </w:p>
        </w:tc>
        <w:tc>
          <w:tcPr>
            <w:tcW w:w="1728" w:type="dxa"/>
          </w:tcPr>
          <w:p w14:paraId="54E63B0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3C9DF6B8" w14:textId="77777777" w:rsidTr="007534E7">
        <w:tc>
          <w:tcPr>
            <w:tcW w:w="3114" w:type="dxa"/>
          </w:tcPr>
          <w:p w14:paraId="0A2E49DC"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lastRenderedPageBreak/>
              <w:t>GHEX*COC</w:t>
            </w:r>
          </w:p>
        </w:tc>
        <w:tc>
          <w:tcPr>
            <w:tcW w:w="1728" w:type="dxa"/>
          </w:tcPr>
          <w:p w14:paraId="2CD433C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-0.0029669</w:t>
            </w:r>
          </w:p>
        </w:tc>
        <w:tc>
          <w:tcPr>
            <w:tcW w:w="2241" w:type="dxa"/>
          </w:tcPr>
          <w:p w14:paraId="63D2E4E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0.0026462</w:t>
            </w:r>
          </w:p>
        </w:tc>
        <w:tc>
          <w:tcPr>
            <w:tcW w:w="1728" w:type="dxa"/>
          </w:tcPr>
          <w:p w14:paraId="2CA4780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0.262</w:t>
            </w:r>
          </w:p>
        </w:tc>
      </w:tr>
      <w:tr w:rsidR="001649EF" w:rsidRPr="00D245BD" w14:paraId="1E1DA97A" w14:textId="77777777" w:rsidTr="007534E7">
        <w:tc>
          <w:tcPr>
            <w:tcW w:w="3114" w:type="dxa"/>
          </w:tcPr>
          <w:p w14:paraId="130EB794"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GHEX*REQ</w:t>
            </w:r>
          </w:p>
        </w:tc>
        <w:tc>
          <w:tcPr>
            <w:tcW w:w="1728" w:type="dxa"/>
          </w:tcPr>
          <w:p w14:paraId="36A56E3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-0.0968977***</w:t>
            </w:r>
          </w:p>
        </w:tc>
        <w:tc>
          <w:tcPr>
            <w:tcW w:w="2241" w:type="dxa"/>
          </w:tcPr>
          <w:p w14:paraId="0382692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0.121602</w:t>
            </w:r>
          </w:p>
        </w:tc>
        <w:tc>
          <w:tcPr>
            <w:tcW w:w="1728" w:type="dxa"/>
          </w:tcPr>
          <w:p w14:paraId="3D09055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9105AAE" w14:textId="77777777" w:rsidTr="007534E7">
        <w:tc>
          <w:tcPr>
            <w:tcW w:w="3114" w:type="dxa"/>
          </w:tcPr>
          <w:p w14:paraId="72FB77DF"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PHEX*GEF</w:t>
            </w:r>
          </w:p>
        </w:tc>
        <w:tc>
          <w:tcPr>
            <w:tcW w:w="1728" w:type="dxa"/>
          </w:tcPr>
          <w:p w14:paraId="34329BF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0.0118964***</w:t>
            </w:r>
          </w:p>
        </w:tc>
        <w:tc>
          <w:tcPr>
            <w:tcW w:w="2241" w:type="dxa"/>
          </w:tcPr>
          <w:p w14:paraId="14958F8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0.0018265</w:t>
            </w:r>
          </w:p>
        </w:tc>
        <w:tc>
          <w:tcPr>
            <w:tcW w:w="1728" w:type="dxa"/>
          </w:tcPr>
          <w:p w14:paraId="48AFBDC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7CAB148E" w14:textId="77777777" w:rsidTr="007534E7">
        <w:tc>
          <w:tcPr>
            <w:tcW w:w="3114" w:type="dxa"/>
          </w:tcPr>
          <w:p w14:paraId="23738175"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PHEX*COC</w:t>
            </w:r>
          </w:p>
        </w:tc>
        <w:tc>
          <w:tcPr>
            <w:tcW w:w="1728" w:type="dxa"/>
          </w:tcPr>
          <w:p w14:paraId="213A1A7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-0.0025269***</w:t>
            </w:r>
          </w:p>
        </w:tc>
        <w:tc>
          <w:tcPr>
            <w:tcW w:w="2241" w:type="dxa"/>
          </w:tcPr>
          <w:p w14:paraId="4D16A44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0.0004748</w:t>
            </w:r>
          </w:p>
        </w:tc>
        <w:tc>
          <w:tcPr>
            <w:tcW w:w="1728" w:type="dxa"/>
          </w:tcPr>
          <w:p w14:paraId="78A8BEC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57798670" w14:textId="77777777" w:rsidTr="007534E7">
        <w:tc>
          <w:tcPr>
            <w:tcW w:w="3114" w:type="dxa"/>
          </w:tcPr>
          <w:p w14:paraId="4A4083FF"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PHEX*REQ</w:t>
            </w:r>
          </w:p>
        </w:tc>
        <w:tc>
          <w:tcPr>
            <w:tcW w:w="1728" w:type="dxa"/>
          </w:tcPr>
          <w:p w14:paraId="2814A39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0.0166587***</w:t>
            </w:r>
          </w:p>
        </w:tc>
        <w:tc>
          <w:tcPr>
            <w:tcW w:w="2241" w:type="dxa"/>
          </w:tcPr>
          <w:p w14:paraId="3AD44BB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0.0023616</w:t>
            </w:r>
          </w:p>
        </w:tc>
        <w:tc>
          <w:tcPr>
            <w:tcW w:w="1728" w:type="dxa"/>
          </w:tcPr>
          <w:p w14:paraId="7D699B5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796F2E71" w14:textId="77777777" w:rsidTr="007534E7">
        <w:tc>
          <w:tcPr>
            <w:tcW w:w="3114" w:type="dxa"/>
          </w:tcPr>
          <w:p w14:paraId="6C27601C"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yr2001</w:t>
            </w:r>
          </w:p>
        </w:tc>
        <w:tc>
          <w:tcPr>
            <w:tcW w:w="1728" w:type="dxa"/>
          </w:tcPr>
          <w:p w14:paraId="3D9F01D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-0.8121134</w:t>
            </w:r>
          </w:p>
        </w:tc>
        <w:tc>
          <w:tcPr>
            <w:tcW w:w="2241" w:type="dxa"/>
          </w:tcPr>
          <w:p w14:paraId="18157B4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0.4261985</w:t>
            </w:r>
          </w:p>
        </w:tc>
        <w:tc>
          <w:tcPr>
            <w:tcW w:w="1728" w:type="dxa"/>
          </w:tcPr>
          <w:p w14:paraId="0B27302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0.057</w:t>
            </w:r>
          </w:p>
        </w:tc>
      </w:tr>
      <w:tr w:rsidR="001649EF" w:rsidRPr="00D245BD" w14:paraId="77E34B53" w14:textId="77777777" w:rsidTr="007534E7">
        <w:tc>
          <w:tcPr>
            <w:tcW w:w="3114" w:type="dxa"/>
          </w:tcPr>
          <w:p w14:paraId="3955A2EE"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yr2003</w:t>
            </w:r>
          </w:p>
        </w:tc>
        <w:tc>
          <w:tcPr>
            <w:tcW w:w="1728" w:type="dxa"/>
          </w:tcPr>
          <w:p w14:paraId="2558644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1.225761***</w:t>
            </w:r>
          </w:p>
        </w:tc>
        <w:tc>
          <w:tcPr>
            <w:tcW w:w="2241" w:type="dxa"/>
          </w:tcPr>
          <w:p w14:paraId="4B0C774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0.4328737</w:t>
            </w:r>
          </w:p>
        </w:tc>
        <w:tc>
          <w:tcPr>
            <w:tcW w:w="1728" w:type="dxa"/>
          </w:tcPr>
          <w:p w14:paraId="3849879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0.005</w:t>
            </w:r>
          </w:p>
        </w:tc>
      </w:tr>
      <w:tr w:rsidR="001649EF" w:rsidRPr="00D245BD" w14:paraId="36482AF4" w14:textId="77777777" w:rsidTr="007534E7">
        <w:tc>
          <w:tcPr>
            <w:tcW w:w="3114" w:type="dxa"/>
          </w:tcPr>
          <w:p w14:paraId="65CD9414"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yr2004</w:t>
            </w:r>
          </w:p>
        </w:tc>
        <w:tc>
          <w:tcPr>
            <w:tcW w:w="1728" w:type="dxa"/>
          </w:tcPr>
          <w:p w14:paraId="1AB6B6E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2.018852***</w:t>
            </w:r>
          </w:p>
        </w:tc>
        <w:tc>
          <w:tcPr>
            <w:tcW w:w="2241" w:type="dxa"/>
          </w:tcPr>
          <w:p w14:paraId="6E92B9F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0.4410445</w:t>
            </w:r>
          </w:p>
        </w:tc>
        <w:tc>
          <w:tcPr>
            <w:tcW w:w="1728" w:type="dxa"/>
          </w:tcPr>
          <w:p w14:paraId="0DF6207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81067C4" w14:textId="77777777" w:rsidTr="007534E7">
        <w:tc>
          <w:tcPr>
            <w:tcW w:w="3114" w:type="dxa"/>
          </w:tcPr>
          <w:p w14:paraId="09A4B58D"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yr2005</w:t>
            </w:r>
          </w:p>
        </w:tc>
        <w:tc>
          <w:tcPr>
            <w:tcW w:w="1728" w:type="dxa"/>
          </w:tcPr>
          <w:p w14:paraId="0ED58CB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3.147***</w:t>
            </w:r>
          </w:p>
        </w:tc>
        <w:tc>
          <w:tcPr>
            <w:tcW w:w="2241" w:type="dxa"/>
          </w:tcPr>
          <w:p w14:paraId="3183D53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0.4720678</w:t>
            </w:r>
          </w:p>
        </w:tc>
        <w:tc>
          <w:tcPr>
            <w:tcW w:w="1728" w:type="dxa"/>
          </w:tcPr>
          <w:p w14:paraId="29979A8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55C3A42" w14:textId="77777777" w:rsidTr="007534E7">
        <w:tc>
          <w:tcPr>
            <w:tcW w:w="3114" w:type="dxa"/>
          </w:tcPr>
          <w:p w14:paraId="6869968E"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yr2006</w:t>
            </w:r>
          </w:p>
        </w:tc>
        <w:tc>
          <w:tcPr>
            <w:tcW w:w="1728" w:type="dxa"/>
          </w:tcPr>
          <w:p w14:paraId="35C1A2F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3.63122***</w:t>
            </w:r>
          </w:p>
        </w:tc>
        <w:tc>
          <w:tcPr>
            <w:tcW w:w="2241" w:type="dxa"/>
          </w:tcPr>
          <w:p w14:paraId="6095043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0.4725783</w:t>
            </w:r>
          </w:p>
        </w:tc>
        <w:tc>
          <w:tcPr>
            <w:tcW w:w="1728" w:type="dxa"/>
          </w:tcPr>
          <w:p w14:paraId="4FCEA35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228D9A5E" w14:textId="77777777" w:rsidTr="007534E7">
        <w:tc>
          <w:tcPr>
            <w:tcW w:w="3114" w:type="dxa"/>
          </w:tcPr>
          <w:p w14:paraId="7E33DC07"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yr2007</w:t>
            </w:r>
          </w:p>
        </w:tc>
        <w:tc>
          <w:tcPr>
            <w:tcW w:w="1728" w:type="dxa"/>
          </w:tcPr>
          <w:p w14:paraId="268CE18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4.02972***</w:t>
            </w:r>
          </w:p>
        </w:tc>
        <w:tc>
          <w:tcPr>
            <w:tcW w:w="2241" w:type="dxa"/>
          </w:tcPr>
          <w:p w14:paraId="05B4713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0.4851791</w:t>
            </w:r>
          </w:p>
        </w:tc>
        <w:tc>
          <w:tcPr>
            <w:tcW w:w="1728" w:type="dxa"/>
          </w:tcPr>
          <w:p w14:paraId="7668839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0B2DA9E2" w14:textId="77777777" w:rsidTr="007534E7">
        <w:tc>
          <w:tcPr>
            <w:tcW w:w="3114" w:type="dxa"/>
          </w:tcPr>
          <w:p w14:paraId="2D67BF86"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yr2008</w:t>
            </w:r>
          </w:p>
        </w:tc>
        <w:tc>
          <w:tcPr>
            <w:tcW w:w="1728" w:type="dxa"/>
          </w:tcPr>
          <w:p w14:paraId="002B341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4.864956***</w:t>
            </w:r>
          </w:p>
        </w:tc>
        <w:tc>
          <w:tcPr>
            <w:tcW w:w="2241" w:type="dxa"/>
          </w:tcPr>
          <w:p w14:paraId="14797FD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0.5095669</w:t>
            </w:r>
          </w:p>
        </w:tc>
        <w:tc>
          <w:tcPr>
            <w:tcW w:w="1728" w:type="dxa"/>
          </w:tcPr>
          <w:p w14:paraId="1429304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7DE922D" w14:textId="77777777" w:rsidTr="007534E7">
        <w:tc>
          <w:tcPr>
            <w:tcW w:w="3114" w:type="dxa"/>
          </w:tcPr>
          <w:p w14:paraId="71DAEE77"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yr2009</w:t>
            </w:r>
          </w:p>
        </w:tc>
        <w:tc>
          <w:tcPr>
            <w:tcW w:w="1728" w:type="dxa"/>
          </w:tcPr>
          <w:p w14:paraId="76FB336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4.341672***</w:t>
            </w:r>
          </w:p>
        </w:tc>
        <w:tc>
          <w:tcPr>
            <w:tcW w:w="2241" w:type="dxa"/>
          </w:tcPr>
          <w:p w14:paraId="1DF1246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0.5057753</w:t>
            </w:r>
          </w:p>
        </w:tc>
        <w:tc>
          <w:tcPr>
            <w:tcW w:w="1728" w:type="dxa"/>
          </w:tcPr>
          <w:p w14:paraId="470F7A9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27F6EFD0" w14:textId="77777777" w:rsidTr="007534E7">
        <w:tc>
          <w:tcPr>
            <w:tcW w:w="3114" w:type="dxa"/>
          </w:tcPr>
          <w:p w14:paraId="709A9F56"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yr2010</w:t>
            </w:r>
          </w:p>
        </w:tc>
        <w:tc>
          <w:tcPr>
            <w:tcW w:w="1728" w:type="dxa"/>
          </w:tcPr>
          <w:p w14:paraId="76DFA20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5.687083***</w:t>
            </w:r>
          </w:p>
        </w:tc>
        <w:tc>
          <w:tcPr>
            <w:tcW w:w="2241" w:type="dxa"/>
          </w:tcPr>
          <w:p w14:paraId="7C579CB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0.5030981</w:t>
            </w:r>
          </w:p>
        </w:tc>
        <w:tc>
          <w:tcPr>
            <w:tcW w:w="1728" w:type="dxa"/>
          </w:tcPr>
          <w:p w14:paraId="4823FEE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6D6AF2F" w14:textId="77777777" w:rsidTr="007534E7">
        <w:tc>
          <w:tcPr>
            <w:tcW w:w="3114" w:type="dxa"/>
          </w:tcPr>
          <w:p w14:paraId="475AB6C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yr2011</w:t>
            </w:r>
          </w:p>
        </w:tc>
        <w:tc>
          <w:tcPr>
            <w:tcW w:w="1728" w:type="dxa"/>
          </w:tcPr>
          <w:p w14:paraId="7E22132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6.505324***</w:t>
            </w:r>
          </w:p>
        </w:tc>
        <w:tc>
          <w:tcPr>
            <w:tcW w:w="2241" w:type="dxa"/>
          </w:tcPr>
          <w:p w14:paraId="7C45C7D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0.5508788</w:t>
            </w:r>
          </w:p>
        </w:tc>
        <w:tc>
          <w:tcPr>
            <w:tcW w:w="1728" w:type="dxa"/>
          </w:tcPr>
          <w:p w14:paraId="1C10429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288C86A" w14:textId="77777777" w:rsidTr="007534E7">
        <w:tc>
          <w:tcPr>
            <w:tcW w:w="3114" w:type="dxa"/>
          </w:tcPr>
          <w:p w14:paraId="650B773D"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yr2012</w:t>
            </w:r>
          </w:p>
        </w:tc>
        <w:tc>
          <w:tcPr>
            <w:tcW w:w="1728" w:type="dxa"/>
          </w:tcPr>
          <w:p w14:paraId="03EA3ED9"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6.630784***</w:t>
            </w:r>
          </w:p>
        </w:tc>
        <w:tc>
          <w:tcPr>
            <w:tcW w:w="2241" w:type="dxa"/>
          </w:tcPr>
          <w:p w14:paraId="4C79BC9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0.5434336</w:t>
            </w:r>
          </w:p>
        </w:tc>
        <w:tc>
          <w:tcPr>
            <w:tcW w:w="1728" w:type="dxa"/>
          </w:tcPr>
          <w:p w14:paraId="7544915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F005064" w14:textId="77777777" w:rsidTr="007534E7">
        <w:tc>
          <w:tcPr>
            <w:tcW w:w="3114" w:type="dxa"/>
          </w:tcPr>
          <w:p w14:paraId="347D76A1"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yr2013</w:t>
            </w:r>
          </w:p>
        </w:tc>
        <w:tc>
          <w:tcPr>
            <w:tcW w:w="1728" w:type="dxa"/>
          </w:tcPr>
          <w:p w14:paraId="4C3CDC7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6.953863***</w:t>
            </w:r>
          </w:p>
        </w:tc>
        <w:tc>
          <w:tcPr>
            <w:tcW w:w="2241" w:type="dxa"/>
          </w:tcPr>
          <w:p w14:paraId="55E1F91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0.5577225</w:t>
            </w:r>
          </w:p>
        </w:tc>
        <w:tc>
          <w:tcPr>
            <w:tcW w:w="1728" w:type="dxa"/>
          </w:tcPr>
          <w:p w14:paraId="591D2AD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53FF1022" w14:textId="77777777" w:rsidTr="007534E7">
        <w:tc>
          <w:tcPr>
            <w:tcW w:w="3114" w:type="dxa"/>
          </w:tcPr>
          <w:p w14:paraId="5A18FC9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yr2014</w:t>
            </w:r>
          </w:p>
        </w:tc>
        <w:tc>
          <w:tcPr>
            <w:tcW w:w="1728" w:type="dxa"/>
          </w:tcPr>
          <w:p w14:paraId="0B9E4AA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7.054384***</w:t>
            </w:r>
          </w:p>
        </w:tc>
        <w:tc>
          <w:tcPr>
            <w:tcW w:w="2241" w:type="dxa"/>
          </w:tcPr>
          <w:p w14:paraId="52A1B0F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0.5628891</w:t>
            </w:r>
          </w:p>
        </w:tc>
        <w:tc>
          <w:tcPr>
            <w:tcW w:w="1728" w:type="dxa"/>
          </w:tcPr>
          <w:p w14:paraId="200DFF1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DC111D1" w14:textId="77777777" w:rsidTr="007534E7">
        <w:tc>
          <w:tcPr>
            <w:tcW w:w="3114" w:type="dxa"/>
          </w:tcPr>
          <w:p w14:paraId="7B1AC3D6"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yr2015</w:t>
            </w:r>
          </w:p>
        </w:tc>
        <w:tc>
          <w:tcPr>
            <w:tcW w:w="1728" w:type="dxa"/>
          </w:tcPr>
          <w:p w14:paraId="4CD7E0A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7.795578***</w:t>
            </w:r>
          </w:p>
        </w:tc>
        <w:tc>
          <w:tcPr>
            <w:tcW w:w="2241" w:type="dxa"/>
          </w:tcPr>
          <w:p w14:paraId="10D14BF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0.5710258</w:t>
            </w:r>
          </w:p>
        </w:tc>
        <w:tc>
          <w:tcPr>
            <w:tcW w:w="1728" w:type="dxa"/>
          </w:tcPr>
          <w:p w14:paraId="485B330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284090CE" w14:textId="77777777" w:rsidTr="007534E7">
        <w:tc>
          <w:tcPr>
            <w:tcW w:w="3114" w:type="dxa"/>
          </w:tcPr>
          <w:p w14:paraId="22D5785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yr2016</w:t>
            </w:r>
          </w:p>
        </w:tc>
        <w:tc>
          <w:tcPr>
            <w:tcW w:w="1728" w:type="dxa"/>
          </w:tcPr>
          <w:p w14:paraId="7275526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8.266895***</w:t>
            </w:r>
          </w:p>
        </w:tc>
        <w:tc>
          <w:tcPr>
            <w:tcW w:w="2241" w:type="dxa"/>
          </w:tcPr>
          <w:p w14:paraId="19E816B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0.5956352</w:t>
            </w:r>
          </w:p>
        </w:tc>
        <w:tc>
          <w:tcPr>
            <w:tcW w:w="1728" w:type="dxa"/>
          </w:tcPr>
          <w:p w14:paraId="77BCFCF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04D7F92" w14:textId="77777777" w:rsidTr="007534E7">
        <w:tc>
          <w:tcPr>
            <w:tcW w:w="3114" w:type="dxa"/>
          </w:tcPr>
          <w:p w14:paraId="4FFFEE00"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yr2017</w:t>
            </w:r>
          </w:p>
        </w:tc>
        <w:tc>
          <w:tcPr>
            <w:tcW w:w="1728" w:type="dxa"/>
          </w:tcPr>
          <w:p w14:paraId="285A549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8.764592***</w:t>
            </w:r>
          </w:p>
        </w:tc>
        <w:tc>
          <w:tcPr>
            <w:tcW w:w="2241" w:type="dxa"/>
          </w:tcPr>
          <w:p w14:paraId="2C6AD4A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0.6204443</w:t>
            </w:r>
          </w:p>
        </w:tc>
        <w:tc>
          <w:tcPr>
            <w:tcW w:w="1728" w:type="dxa"/>
          </w:tcPr>
          <w:p w14:paraId="196C06C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BCFEFE7" w14:textId="77777777" w:rsidTr="007534E7">
        <w:tc>
          <w:tcPr>
            <w:tcW w:w="3114" w:type="dxa"/>
          </w:tcPr>
          <w:p w14:paraId="1823FE7A"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yr2018</w:t>
            </w:r>
          </w:p>
        </w:tc>
        <w:tc>
          <w:tcPr>
            <w:tcW w:w="1728" w:type="dxa"/>
          </w:tcPr>
          <w:p w14:paraId="37E63A2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9.049262***</w:t>
            </w:r>
          </w:p>
        </w:tc>
        <w:tc>
          <w:tcPr>
            <w:tcW w:w="2241" w:type="dxa"/>
          </w:tcPr>
          <w:p w14:paraId="1651CDF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0.6222467</w:t>
            </w:r>
          </w:p>
        </w:tc>
        <w:tc>
          <w:tcPr>
            <w:tcW w:w="1728" w:type="dxa"/>
          </w:tcPr>
          <w:p w14:paraId="5B57A13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3FB92EB7" w14:textId="77777777" w:rsidTr="007534E7">
        <w:tc>
          <w:tcPr>
            <w:tcW w:w="3114" w:type="dxa"/>
          </w:tcPr>
          <w:p w14:paraId="03334A9C"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yr2019</w:t>
            </w:r>
          </w:p>
        </w:tc>
        <w:tc>
          <w:tcPr>
            <w:tcW w:w="1728" w:type="dxa"/>
          </w:tcPr>
          <w:p w14:paraId="61C20668"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9.061628***</w:t>
            </w:r>
          </w:p>
        </w:tc>
        <w:tc>
          <w:tcPr>
            <w:tcW w:w="2241" w:type="dxa"/>
          </w:tcPr>
          <w:p w14:paraId="6B7CA56A"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0.6471577</w:t>
            </w:r>
          </w:p>
        </w:tc>
        <w:tc>
          <w:tcPr>
            <w:tcW w:w="1728" w:type="dxa"/>
          </w:tcPr>
          <w:p w14:paraId="27E2B7F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46F41EC7" w14:textId="77777777" w:rsidTr="007534E7">
        <w:tc>
          <w:tcPr>
            <w:tcW w:w="3114" w:type="dxa"/>
          </w:tcPr>
          <w:p w14:paraId="3E41F919"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yr2020</w:t>
            </w:r>
          </w:p>
        </w:tc>
        <w:tc>
          <w:tcPr>
            <w:tcW w:w="1728" w:type="dxa"/>
          </w:tcPr>
          <w:p w14:paraId="03FE0D0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9.284772***</w:t>
            </w:r>
          </w:p>
        </w:tc>
        <w:tc>
          <w:tcPr>
            <w:tcW w:w="2241" w:type="dxa"/>
          </w:tcPr>
          <w:p w14:paraId="444669F5"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0.6384778</w:t>
            </w:r>
          </w:p>
        </w:tc>
        <w:tc>
          <w:tcPr>
            <w:tcW w:w="1728" w:type="dxa"/>
          </w:tcPr>
          <w:p w14:paraId="5C5BC07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341E047" w14:textId="77777777" w:rsidTr="007534E7">
        <w:tc>
          <w:tcPr>
            <w:tcW w:w="3114" w:type="dxa"/>
          </w:tcPr>
          <w:p w14:paraId="1E4D87F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yr2021</w:t>
            </w:r>
          </w:p>
        </w:tc>
        <w:tc>
          <w:tcPr>
            <w:tcW w:w="1728" w:type="dxa"/>
          </w:tcPr>
          <w:p w14:paraId="1F65059D"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8.686171***</w:t>
            </w:r>
          </w:p>
        </w:tc>
        <w:tc>
          <w:tcPr>
            <w:tcW w:w="2241" w:type="dxa"/>
          </w:tcPr>
          <w:p w14:paraId="0195227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0.663283</w:t>
            </w:r>
          </w:p>
        </w:tc>
        <w:tc>
          <w:tcPr>
            <w:tcW w:w="1728" w:type="dxa"/>
          </w:tcPr>
          <w:p w14:paraId="51570AB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6514F613" w14:textId="77777777" w:rsidTr="007534E7">
        <w:tc>
          <w:tcPr>
            <w:tcW w:w="3114" w:type="dxa"/>
          </w:tcPr>
          <w:p w14:paraId="6145B6AB"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yr2022</w:t>
            </w:r>
          </w:p>
        </w:tc>
        <w:tc>
          <w:tcPr>
            <w:tcW w:w="1728" w:type="dxa"/>
          </w:tcPr>
          <w:p w14:paraId="4A7DA4C6"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9.640165***</w:t>
            </w:r>
          </w:p>
        </w:tc>
        <w:tc>
          <w:tcPr>
            <w:tcW w:w="2241" w:type="dxa"/>
          </w:tcPr>
          <w:p w14:paraId="512713EC"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0.6362576</w:t>
            </w:r>
          </w:p>
        </w:tc>
        <w:tc>
          <w:tcPr>
            <w:tcW w:w="1728" w:type="dxa"/>
          </w:tcPr>
          <w:p w14:paraId="6334365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r w:rsidR="001649EF" w:rsidRPr="00D245BD" w14:paraId="1218CF75" w14:textId="77777777" w:rsidTr="007534E7">
        <w:tc>
          <w:tcPr>
            <w:tcW w:w="3114" w:type="dxa"/>
          </w:tcPr>
          <w:p w14:paraId="703134A1"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yr2023</w:t>
            </w:r>
          </w:p>
        </w:tc>
        <w:tc>
          <w:tcPr>
            <w:tcW w:w="1728" w:type="dxa"/>
          </w:tcPr>
          <w:p w14:paraId="2ABCFCC0"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11.35691***</w:t>
            </w:r>
          </w:p>
        </w:tc>
        <w:tc>
          <w:tcPr>
            <w:tcW w:w="2241" w:type="dxa"/>
          </w:tcPr>
          <w:p w14:paraId="2F3919C2"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0.685341</w:t>
            </w:r>
          </w:p>
        </w:tc>
        <w:tc>
          <w:tcPr>
            <w:tcW w:w="1728" w:type="dxa"/>
          </w:tcPr>
          <w:p w14:paraId="3C9DF04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10019619" w14:textId="77777777" w:rsidTr="007534E7">
        <w:tc>
          <w:tcPr>
            <w:tcW w:w="3114" w:type="dxa"/>
          </w:tcPr>
          <w:p w14:paraId="5CDB7D4A"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yr2024</w:t>
            </w:r>
          </w:p>
        </w:tc>
        <w:tc>
          <w:tcPr>
            <w:tcW w:w="1728" w:type="dxa"/>
          </w:tcPr>
          <w:p w14:paraId="6B626C27"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12.54976***</w:t>
            </w:r>
          </w:p>
        </w:tc>
        <w:tc>
          <w:tcPr>
            <w:tcW w:w="2241" w:type="dxa"/>
          </w:tcPr>
          <w:p w14:paraId="39DC0011"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0.7530104</w:t>
            </w:r>
          </w:p>
        </w:tc>
        <w:tc>
          <w:tcPr>
            <w:tcW w:w="1728" w:type="dxa"/>
          </w:tcPr>
          <w:p w14:paraId="47FB553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 xml:space="preserve">0.000     </w:t>
            </w:r>
          </w:p>
        </w:tc>
      </w:tr>
      <w:tr w:rsidR="001649EF" w:rsidRPr="00D245BD" w14:paraId="742F1C09" w14:textId="77777777" w:rsidTr="007534E7">
        <w:tc>
          <w:tcPr>
            <w:tcW w:w="3114" w:type="dxa"/>
          </w:tcPr>
          <w:p w14:paraId="27E7F282" w14:textId="77777777" w:rsidR="001649EF" w:rsidRPr="00D245BD" w:rsidRDefault="001649EF" w:rsidP="007534E7">
            <w:pPr>
              <w:widowControl w:val="0"/>
              <w:autoSpaceDE w:val="0"/>
              <w:autoSpaceDN w:val="0"/>
              <w:adjustRightInd w:val="0"/>
              <w:jc w:val="center"/>
              <w:rPr>
                <w:rFonts w:ascii="Times New Roman" w:hAnsi="Times New Roman" w:cs="Times New Roman"/>
              </w:rPr>
            </w:pPr>
            <w:r w:rsidRPr="00D245BD">
              <w:rPr>
                <w:rFonts w:ascii="Times New Roman" w:hAnsi="Times New Roman" w:cs="Times New Roman"/>
              </w:rPr>
              <w:t>Constant</w:t>
            </w:r>
          </w:p>
        </w:tc>
        <w:tc>
          <w:tcPr>
            <w:tcW w:w="1728" w:type="dxa"/>
          </w:tcPr>
          <w:p w14:paraId="084F2C43"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39.30855***</w:t>
            </w:r>
          </w:p>
        </w:tc>
        <w:tc>
          <w:tcPr>
            <w:tcW w:w="2241" w:type="dxa"/>
          </w:tcPr>
          <w:p w14:paraId="6061C14F"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2.658534</w:t>
            </w:r>
          </w:p>
        </w:tc>
        <w:tc>
          <w:tcPr>
            <w:tcW w:w="1728" w:type="dxa"/>
          </w:tcPr>
          <w:p w14:paraId="2141CBAB" w14:textId="77777777" w:rsidR="001649EF" w:rsidRPr="00D245BD" w:rsidRDefault="001649EF" w:rsidP="007534E7">
            <w:pPr>
              <w:widowControl w:val="0"/>
              <w:autoSpaceDE w:val="0"/>
              <w:autoSpaceDN w:val="0"/>
              <w:adjustRightInd w:val="0"/>
              <w:jc w:val="both"/>
              <w:rPr>
                <w:rFonts w:ascii="Times New Roman" w:hAnsi="Times New Roman" w:cs="Times New Roman"/>
              </w:rPr>
            </w:pPr>
            <w:r w:rsidRPr="00D245BD">
              <w:rPr>
                <w:rFonts w:ascii="Times New Roman" w:hAnsi="Times New Roman" w:cs="Times New Roman"/>
              </w:rPr>
              <w:t>0.000</w:t>
            </w:r>
          </w:p>
        </w:tc>
      </w:tr>
    </w:tbl>
    <w:p w14:paraId="6BA9F831" w14:textId="77777777" w:rsidR="002E559A" w:rsidRPr="00D245BD" w:rsidRDefault="002E559A" w:rsidP="001F2FF8">
      <w:pPr>
        <w:spacing w:after="0" w:line="360" w:lineRule="auto"/>
        <w:jc w:val="both"/>
        <w:rPr>
          <w:rFonts w:ascii="Times New Roman" w:hAnsi="Times New Roman" w:cs="Times New Roman"/>
          <w:b/>
          <w:bCs/>
          <w:iCs/>
        </w:rPr>
      </w:pPr>
      <w:r w:rsidRPr="00D245BD">
        <w:rPr>
          <w:rFonts w:ascii="Times New Roman" w:hAnsi="Times New Roman" w:cs="Times New Roman"/>
          <w:b/>
          <w:bCs/>
          <w:iCs/>
        </w:rPr>
        <w:t>Source: Authors’ Computation Using STATA 17, (2026)</w:t>
      </w:r>
    </w:p>
    <w:p w14:paraId="72A35D45" w14:textId="77777777" w:rsidR="002E559A" w:rsidRPr="00D245BD" w:rsidRDefault="002E559A" w:rsidP="001F2FF8">
      <w:pPr>
        <w:widowControl w:val="0"/>
        <w:autoSpaceDE w:val="0"/>
        <w:autoSpaceDN w:val="0"/>
        <w:adjustRightInd w:val="0"/>
        <w:spacing w:after="0" w:line="360" w:lineRule="auto"/>
        <w:jc w:val="both"/>
        <w:rPr>
          <w:rFonts w:ascii="Times New Roman" w:hAnsi="Times New Roman" w:cs="Times New Roman"/>
          <w:b/>
          <w:bCs/>
        </w:rPr>
      </w:pPr>
      <w:r w:rsidRPr="00D245BD">
        <w:rPr>
          <w:rFonts w:ascii="Times New Roman" w:hAnsi="Times New Roman" w:cs="Times New Roman"/>
          <w:b/>
          <w:bCs/>
        </w:rPr>
        <w:t>*** p&lt;0.01, ** p&lt;0.05, * p&lt;0.1</w:t>
      </w:r>
    </w:p>
    <w:p w14:paraId="35769099" w14:textId="77777777" w:rsidR="00AE44CE" w:rsidRDefault="00923BB0" w:rsidP="00AE44CE">
      <w:pPr>
        <w:spacing w:after="0" w:line="360" w:lineRule="auto"/>
        <w:ind w:firstLine="720"/>
        <w:jc w:val="both"/>
        <w:rPr>
          <w:rFonts w:ascii="Times New Roman" w:hAnsi="Times New Roman" w:cs="Times New Roman"/>
        </w:rPr>
      </w:pPr>
      <w:bookmarkStart w:id="6" w:name="_Toc222148175"/>
      <w:bookmarkStart w:id="7" w:name="_Toc222149394"/>
      <w:bookmarkStart w:id="8" w:name="_Toc224503003"/>
      <w:bookmarkStart w:id="9" w:name="_Toc226301186"/>
      <w:r w:rsidRPr="00D245BD">
        <w:rPr>
          <w:rFonts w:ascii="Times New Roman" w:hAnsi="Times New Roman" w:cs="Times New Roman"/>
        </w:rPr>
        <w:t>Based on the results in Table 4.3, health expenditure measured by private health expenditure (PHEX) and government health expenditure (GHEX) exhibits coefficients of 0.1163 and 0.9543, respectively. These results indicate that health expenditure has a statistically significant and positive impact on life expectancy (LEX), in Sub-Saharan Africa. Specifically, a one-unit increase in private and public health expenditure is associated with increases of 0.116 and 0.954 years in life expectancy, respectively. This finding implies that increased investment in the health sector enhances access to healthcare services, improves the quality and coverage of medical infrastructure, and strengthens preventive and curative care, thereby translating into longer life expectancy and improved overall population health in the region.</w:t>
      </w:r>
      <w:r w:rsidR="00414D71">
        <w:rPr>
          <w:rFonts w:ascii="Times New Roman" w:hAnsi="Times New Roman" w:cs="Times New Roman"/>
        </w:rPr>
        <w:t xml:space="preserve"> </w:t>
      </w:r>
      <w:r w:rsidR="00414D71" w:rsidRPr="00B361F5">
        <w:rPr>
          <w:rFonts w:ascii="Times New Roman" w:hAnsi="Times New Roman" w:cs="Times New Roman"/>
        </w:rPr>
        <w:t xml:space="preserve">The findings of this study are consistent with those of Anwar et al. (2023), Bein and Coker-Farrell (2020), and </w:t>
      </w:r>
      <w:proofErr w:type="spellStart"/>
      <w:r w:rsidR="00414D71" w:rsidRPr="00B361F5">
        <w:rPr>
          <w:rFonts w:ascii="Times New Roman" w:hAnsi="Times New Roman" w:cs="Times New Roman"/>
        </w:rPr>
        <w:t>Awoyeni</w:t>
      </w:r>
      <w:proofErr w:type="spellEnd"/>
      <w:r w:rsidR="00414D71" w:rsidRPr="00B361F5">
        <w:rPr>
          <w:rFonts w:ascii="Times New Roman" w:hAnsi="Times New Roman" w:cs="Times New Roman"/>
        </w:rPr>
        <w:t xml:space="preserve"> et al. (2023), all of whom similarly reported that health expenditure plays a significant role in enhancing health outcomes and improving overall health status.</w:t>
      </w:r>
    </w:p>
    <w:p w14:paraId="0B1936D4" w14:textId="022A8D2C" w:rsidR="00923BB0" w:rsidRPr="00414D71" w:rsidRDefault="00923BB0" w:rsidP="00AE44CE">
      <w:pPr>
        <w:spacing w:after="0" w:line="360" w:lineRule="auto"/>
        <w:ind w:firstLine="720"/>
        <w:jc w:val="both"/>
        <w:rPr>
          <w:rFonts w:ascii="Times New Roman" w:hAnsi="Times New Roman" w:cs="Times New Roman"/>
        </w:rPr>
      </w:pPr>
      <w:r w:rsidRPr="00414D71">
        <w:rPr>
          <w:rStyle w:val="Strong"/>
          <w:rFonts w:ascii="Times New Roman" w:hAnsi="Times New Roman" w:cs="Times New Roman"/>
          <w:b w:val="0"/>
          <w:bCs w:val="0"/>
        </w:rPr>
        <w:t xml:space="preserve">Also, </w:t>
      </w:r>
      <w:r w:rsidRPr="00414D71">
        <w:rPr>
          <w:rFonts w:ascii="Times New Roman" w:hAnsi="Times New Roman" w:cs="Times New Roman"/>
        </w:rPr>
        <w:t xml:space="preserve">Table 4.3 shows that institutional quality, proxied by government effectiveness (GEF), control of corruption (COC), and regulatory quality (REQ), has coefficients of -0.9805, -0.0130, and 1.4281, respectively. These results indicate that government effectiveness and control of corruption </w:t>
      </w:r>
      <w:r w:rsidRPr="00414D71">
        <w:rPr>
          <w:rFonts w:ascii="Times New Roman" w:hAnsi="Times New Roman" w:cs="Times New Roman"/>
        </w:rPr>
        <w:lastRenderedPageBreak/>
        <w:t>exert negative impacts on life expectancy in Sub-Saharan Africa, although only the impact of government effectiveness is statistically significant at the 5% level</w:t>
      </w:r>
      <w:r w:rsidR="0045283E">
        <w:rPr>
          <w:rFonts w:ascii="Times New Roman" w:hAnsi="Times New Roman" w:cs="Times New Roman"/>
        </w:rPr>
        <w:t>, while c</w:t>
      </w:r>
      <w:r w:rsidR="0045283E">
        <w:rPr>
          <w:rFonts w:ascii="Times New Roman" w:hAnsi="Times New Roman" w:cs="Times New Roman"/>
        </w:rPr>
        <w:t>ontrol</w:t>
      </w:r>
      <w:r w:rsidR="0045283E" w:rsidRPr="00414D71">
        <w:rPr>
          <w:rFonts w:ascii="Times New Roman" w:hAnsi="Times New Roman" w:cs="Times New Roman"/>
        </w:rPr>
        <w:t xml:space="preserve"> of corruption is not statistically significant.</w:t>
      </w:r>
      <w:r w:rsidR="0045283E">
        <w:rPr>
          <w:rFonts w:ascii="Times New Roman" w:hAnsi="Times New Roman" w:cs="Times New Roman"/>
        </w:rPr>
        <w:t xml:space="preserve"> </w:t>
      </w:r>
      <w:r w:rsidR="00414D71" w:rsidRPr="00B361F5">
        <w:rPr>
          <w:rFonts w:ascii="Times New Roman" w:hAnsi="Times New Roman" w:cs="Times New Roman"/>
        </w:rPr>
        <w:t xml:space="preserve">The outcome of this study contradicts the findings of </w:t>
      </w:r>
      <w:proofErr w:type="spellStart"/>
      <w:r w:rsidR="00414D71" w:rsidRPr="00B361F5">
        <w:rPr>
          <w:rFonts w:ascii="Times New Roman" w:hAnsi="Times New Roman" w:cs="Times New Roman"/>
        </w:rPr>
        <w:t>Bukari</w:t>
      </w:r>
      <w:proofErr w:type="spellEnd"/>
      <w:r w:rsidR="00414D71" w:rsidRPr="00B361F5">
        <w:rPr>
          <w:rFonts w:ascii="Times New Roman" w:hAnsi="Times New Roman" w:cs="Times New Roman"/>
        </w:rPr>
        <w:t xml:space="preserve"> et al. (2024) and Hadipour et al. (2023), who reported that improvements in institutional frameworks exert a significant positive effect on health outcomes and overall health status</w:t>
      </w:r>
      <w:r w:rsidR="00414D71">
        <w:rPr>
          <w:rFonts w:ascii="Times New Roman" w:hAnsi="Times New Roman" w:cs="Times New Roman"/>
        </w:rPr>
        <w:t xml:space="preserve">. </w:t>
      </w:r>
      <w:r w:rsidRPr="00414D71">
        <w:rPr>
          <w:rFonts w:ascii="Times New Roman" w:hAnsi="Times New Roman" w:cs="Times New Roman"/>
        </w:rPr>
        <w:t>Conversely, regulatory quality has a statistically significant positive impact on health outcomes. Specifically, a one-unit increase in government effectiveness and control of corruption is associated with reductions of approximately 0.980 and 0.013 years in life expectancy, whereas a one-unit improvement in regulatory quality leads to an increase of about 1.428 years in life expectancy. This implies that while weak implementation capacity and ineffective governance structures may hinder the efficient delivery of health-related services and reduce their impact on population health, strong and well-designed regulatory frameworks enhance policy enforcement, improve service standards, and promote accountability, thereby fostering better health outcomes and increased life expectancy in Sub-Saharan Africa.</w:t>
      </w:r>
    </w:p>
    <w:p w14:paraId="61591C56" w14:textId="77777777" w:rsidR="00923BB0" w:rsidRPr="00D245BD" w:rsidRDefault="00923BB0" w:rsidP="00923BB0">
      <w:pPr>
        <w:pStyle w:val="NormalWeb"/>
        <w:spacing w:after="0" w:line="360" w:lineRule="auto"/>
        <w:ind w:firstLine="720"/>
        <w:jc w:val="both"/>
        <w:rPr>
          <w:sz w:val="22"/>
          <w:szCs w:val="22"/>
        </w:rPr>
      </w:pPr>
      <w:r w:rsidRPr="00D245BD">
        <w:rPr>
          <w:rStyle w:val="Strong"/>
          <w:b w:val="0"/>
          <w:bCs w:val="0"/>
          <w:sz w:val="22"/>
          <w:szCs w:val="22"/>
        </w:rPr>
        <w:t>Given the independent roles of health expenditure and institutional quality, the analysis further explores their joint effects on health outcomes.</w:t>
      </w:r>
      <w:r w:rsidRPr="00D245BD">
        <w:rPr>
          <w:sz w:val="22"/>
          <w:szCs w:val="22"/>
        </w:rPr>
        <w:t xml:space="preserve"> The interaction between health expenditure and institutional quality, proxied by government effectiveness (GEF), as presented in Table 4.12, yields coefficients of 0.0759 for government health expenditure (GHEX) and 0.0119 for private health expenditure (PHEX). These coefficients are statistically significant at the 5% level, indicating that health expenditure, when complemented by effective governance structures, exerts a positive and meaningful impact on life expectancy (LEX), in Sub-Saharan Africa. Specifically, a one-unit increase in health expenditure, when interacted with improved government effectiveness, is associated with increases of 0.0759 and 0.0119 years in life expectancy for public and private health expenditure, respectively. This suggests that effective government institutions enhance the productivity of both public and private health expenditures, ensuring that increased spending is more efficiently translated into improved life expectancy in the region. </w:t>
      </w:r>
    </w:p>
    <w:p w14:paraId="32A0E75C" w14:textId="77777777" w:rsidR="00923BB0" w:rsidRPr="00D245BD" w:rsidRDefault="00923BB0" w:rsidP="00923BB0">
      <w:pPr>
        <w:pStyle w:val="NormalWeb"/>
        <w:spacing w:after="0" w:line="360" w:lineRule="auto"/>
        <w:ind w:firstLine="720"/>
        <w:jc w:val="both"/>
        <w:rPr>
          <w:sz w:val="22"/>
          <w:szCs w:val="22"/>
        </w:rPr>
      </w:pPr>
      <w:r w:rsidRPr="00D245BD">
        <w:rPr>
          <w:sz w:val="22"/>
          <w:szCs w:val="22"/>
        </w:rPr>
        <w:t>Building on this, the analysis further examines the role of institutional quality through the lens of control of corruption (COC). The results reveal that the interaction coefficients between health expenditure and control of corruption are -0.0030 for government health expenditure (GHEX) and -0.0025 for private health expenditure (PHEX). This indicates that health expenditure, when interacted with the control of corruption index, is associated with a reduction in life expectancy in Sub-Saharan Africa. While the interaction involving public health expenditure is statistically not significant, suggesting a weak or negligible impact, the interaction involving private health expenditure is statistically significant at the 5% level. This implies that a unit increase in private health spending, when combined with weak corruption control, leads to a 0.0025 decrease in life expectancy. The implication is that persistent corruption undermines the effectiveness of health expenditure particularly private sector spending by diverting resources, reducing efficiency, and limiting access to quality healthcare services, thereby eroding potential health gains.</w:t>
      </w:r>
    </w:p>
    <w:p w14:paraId="61D87F46" w14:textId="77777777" w:rsidR="00923BB0" w:rsidRPr="00D245BD" w:rsidRDefault="00923BB0" w:rsidP="00923BB0">
      <w:pPr>
        <w:pStyle w:val="NormalWeb"/>
        <w:spacing w:after="0" w:line="360" w:lineRule="auto"/>
        <w:ind w:firstLine="720"/>
        <w:jc w:val="both"/>
        <w:rPr>
          <w:sz w:val="22"/>
          <w:szCs w:val="22"/>
        </w:rPr>
      </w:pPr>
      <w:r w:rsidRPr="00D245BD">
        <w:rPr>
          <w:rStyle w:val="Strong"/>
          <w:b w:val="0"/>
          <w:bCs w:val="0"/>
          <w:sz w:val="22"/>
          <w:szCs w:val="22"/>
        </w:rPr>
        <w:lastRenderedPageBreak/>
        <w:t>In a similar vein, regulatory quality further conditions the effectiveness of health expenditure.</w:t>
      </w:r>
      <w:r w:rsidRPr="00D245BD">
        <w:rPr>
          <w:sz w:val="22"/>
          <w:szCs w:val="22"/>
        </w:rPr>
        <w:t xml:space="preserve"> Table 4.3 shows that the interaction between government health expenditure (GHEX) and regulatory quality (REQ) yields a coefficient of -0.0969, which is statistically significant. This suggests that increased public health spending, when combined with poor or ineffective regulatory frameworks, adversely affects health outcomes in Sub-Saharan Africa. In concrete terms, a one-unit increase in public health expenditure interacted with regulatory quality leads to a 0.0969 reduction in life expectancy. In contrast, the interaction between private health expenditure (PHEX) and regulatory quality produces a positive and statistically significant coefficient of 0.0167. This indicates that improvements in regulatory quality enhance the effectiveness of private health spending, resulting in measurable improvements in life expectancy. </w:t>
      </w:r>
    </w:p>
    <w:p w14:paraId="49978BE0" w14:textId="77777777" w:rsidR="00923BB0" w:rsidRPr="00D245BD" w:rsidRDefault="00923BB0" w:rsidP="00923BB0">
      <w:pPr>
        <w:pStyle w:val="NormalWeb"/>
        <w:spacing w:after="0" w:line="360" w:lineRule="auto"/>
        <w:ind w:firstLine="720"/>
        <w:jc w:val="both"/>
        <w:rPr>
          <w:sz w:val="22"/>
          <w:szCs w:val="22"/>
        </w:rPr>
      </w:pPr>
      <w:r w:rsidRPr="00D245BD">
        <w:rPr>
          <w:rStyle w:val="Strong"/>
          <w:b w:val="0"/>
          <w:bCs w:val="0"/>
          <w:sz w:val="22"/>
          <w:szCs w:val="22"/>
        </w:rPr>
        <w:t>Finally, to account for temporal dynamics, the model incorporates year dummies capturing time-specific effects on life expectancy.</w:t>
      </w:r>
      <w:r w:rsidRPr="00D245BD">
        <w:rPr>
          <w:sz w:val="22"/>
          <w:szCs w:val="22"/>
        </w:rPr>
        <w:t xml:space="preserve"> These coefficients are interpreted relative to the base year (yr2000), which is omitted to avoid multicollinearity. Results indicate an initial decline in life expectancy by 0.8121 in yr2001. However, from yr2003 onward, there is a sustained and consistent increase in life expectancy, rising from 1.2258 in yr2003 to 9.2848 in yr2020. Although a slight decline is observed in yr2021, where life expectancy falls to 8.6862. The decline in life expectancy in 2021 may largely be attributed to the effects of the </w:t>
      </w:r>
      <w:r w:rsidRPr="00D245BD">
        <w:rPr>
          <w:rStyle w:val="whitespace-normal"/>
          <w:sz w:val="22"/>
          <w:szCs w:val="22"/>
        </w:rPr>
        <w:t>COVID-19</w:t>
      </w:r>
      <w:r w:rsidRPr="00D245BD">
        <w:rPr>
          <w:sz w:val="22"/>
          <w:szCs w:val="22"/>
        </w:rPr>
        <w:t xml:space="preserve"> pandemic. It strained health systems and disrupted essential services, including treatment for </w:t>
      </w:r>
      <w:r w:rsidRPr="00D245BD">
        <w:rPr>
          <w:rStyle w:val="whitespace-normal"/>
          <w:sz w:val="22"/>
          <w:szCs w:val="22"/>
        </w:rPr>
        <w:t>malaria</w:t>
      </w:r>
      <w:r w:rsidRPr="00D245BD">
        <w:rPr>
          <w:sz w:val="22"/>
          <w:szCs w:val="22"/>
        </w:rPr>
        <w:t xml:space="preserve">, </w:t>
      </w:r>
      <w:r w:rsidRPr="00D245BD">
        <w:rPr>
          <w:rStyle w:val="whitespace-normal"/>
          <w:sz w:val="22"/>
          <w:szCs w:val="22"/>
        </w:rPr>
        <w:t>tuberculosis</w:t>
      </w:r>
      <w:r w:rsidRPr="00D245BD">
        <w:rPr>
          <w:sz w:val="22"/>
          <w:szCs w:val="22"/>
        </w:rPr>
        <w:t xml:space="preserve">, and </w:t>
      </w:r>
      <w:r w:rsidRPr="00D245BD">
        <w:rPr>
          <w:rStyle w:val="whitespace-normal"/>
          <w:sz w:val="22"/>
          <w:szCs w:val="22"/>
        </w:rPr>
        <w:t>HIV/AIDS</w:t>
      </w:r>
      <w:r w:rsidRPr="00D245BD">
        <w:rPr>
          <w:sz w:val="22"/>
          <w:szCs w:val="22"/>
        </w:rPr>
        <w:t xml:space="preserve">. Additionally, economic hardship increased poverty and food insecurity, worsening overall health outcomes. Upward trend of life expectancy was also recorded in yr2022 and continues steadily, reaching 12.5498 by yr2024. </w:t>
      </w:r>
    </w:p>
    <w:p w14:paraId="70BB9785" w14:textId="0124F6FD" w:rsidR="002E559A" w:rsidRPr="00D245BD" w:rsidRDefault="008D1FD9" w:rsidP="001F2FF8">
      <w:pPr>
        <w:pStyle w:val="NormalWeb"/>
        <w:spacing w:after="0" w:line="360" w:lineRule="auto"/>
        <w:jc w:val="both"/>
        <w:rPr>
          <w:sz w:val="22"/>
          <w:szCs w:val="22"/>
        </w:rPr>
      </w:pPr>
      <w:r w:rsidRPr="00D245BD">
        <w:rPr>
          <w:b/>
          <w:bCs/>
          <w:sz w:val="22"/>
          <w:szCs w:val="22"/>
        </w:rPr>
        <w:t xml:space="preserve">4.4 </w:t>
      </w:r>
      <w:r w:rsidR="002E559A" w:rsidRPr="00D245BD">
        <w:rPr>
          <w:b/>
          <w:bCs/>
          <w:sz w:val="22"/>
          <w:szCs w:val="22"/>
        </w:rPr>
        <w:t>Generalized Method of Moments (GMM) diagnostic test</w:t>
      </w:r>
      <w:bookmarkEnd w:id="6"/>
      <w:bookmarkEnd w:id="7"/>
      <w:bookmarkEnd w:id="8"/>
      <w:bookmarkEnd w:id="9"/>
    </w:p>
    <w:p w14:paraId="67B0AF11" w14:textId="799DB60A" w:rsidR="002E559A" w:rsidRPr="00D245BD" w:rsidRDefault="002E559A" w:rsidP="001F2FF8">
      <w:pPr>
        <w:spacing w:after="0" w:line="360" w:lineRule="auto"/>
        <w:ind w:firstLine="720"/>
        <w:jc w:val="both"/>
        <w:rPr>
          <w:rFonts w:ascii="Times New Roman" w:eastAsia="Times New Roman" w:hAnsi="Times New Roman" w:cs="Times New Roman"/>
          <w:lang w:eastAsia="en-NG"/>
        </w:rPr>
      </w:pPr>
      <w:r w:rsidRPr="00D245BD">
        <w:rPr>
          <w:rFonts w:ascii="Times New Roman" w:eastAsia="Times New Roman" w:hAnsi="Times New Roman" w:cs="Times New Roman"/>
          <w:lang w:eastAsia="en-NG"/>
        </w:rPr>
        <w:t>The results of the GMM diagnostic tests, which evaluate the validity and reliability of the estimate model, are shown in Table 4.</w:t>
      </w:r>
      <w:r w:rsidR="00A81654" w:rsidRPr="00D245BD">
        <w:rPr>
          <w:rFonts w:ascii="Times New Roman" w:eastAsia="Times New Roman" w:hAnsi="Times New Roman" w:cs="Times New Roman"/>
          <w:lang w:eastAsia="en-NG"/>
        </w:rPr>
        <w:t>4</w:t>
      </w:r>
      <w:r w:rsidRPr="00D245BD">
        <w:rPr>
          <w:rFonts w:ascii="Times New Roman" w:eastAsia="Times New Roman" w:hAnsi="Times New Roman" w:cs="Times New Roman"/>
          <w:lang w:eastAsia="en-NG"/>
        </w:rPr>
        <w:t>. The table presents important post-estimation statistics to assess the instruments' applicability and the overall robustness of the GMM estimations.</w:t>
      </w:r>
    </w:p>
    <w:p w14:paraId="003912CB" w14:textId="54D2C1BC" w:rsidR="002E559A" w:rsidRPr="00D245BD" w:rsidRDefault="002E559A" w:rsidP="001F2FF8">
      <w:pPr>
        <w:pStyle w:val="NormalWeb"/>
        <w:spacing w:after="0" w:line="360" w:lineRule="auto"/>
        <w:jc w:val="both"/>
        <w:rPr>
          <w:b/>
          <w:sz w:val="22"/>
          <w:szCs w:val="22"/>
        </w:rPr>
      </w:pPr>
      <w:r w:rsidRPr="00D245BD">
        <w:rPr>
          <w:sz w:val="22"/>
          <w:szCs w:val="22"/>
        </w:rPr>
        <w:t>T</w:t>
      </w:r>
      <w:r w:rsidRPr="00D245BD">
        <w:rPr>
          <w:b/>
          <w:sz w:val="22"/>
          <w:szCs w:val="22"/>
        </w:rPr>
        <w:t>able 4.</w:t>
      </w:r>
      <w:r w:rsidR="006A755D" w:rsidRPr="00D245BD">
        <w:rPr>
          <w:b/>
          <w:sz w:val="22"/>
          <w:szCs w:val="22"/>
        </w:rPr>
        <w:t>4</w:t>
      </w:r>
      <w:r w:rsidRPr="00D245BD">
        <w:rPr>
          <w:b/>
          <w:sz w:val="22"/>
          <w:szCs w:val="22"/>
        </w:rPr>
        <w:t>: Autocorrelation and instrument validity test result</w:t>
      </w:r>
    </w:p>
    <w:tbl>
      <w:tblPr>
        <w:tblStyle w:val="TableGrid"/>
        <w:tblW w:w="9776" w:type="dxa"/>
        <w:tblLook w:val="04A0" w:firstRow="1" w:lastRow="0" w:firstColumn="1" w:lastColumn="0" w:noHBand="0" w:noVBand="1"/>
      </w:tblPr>
      <w:tblGrid>
        <w:gridCol w:w="5382"/>
        <w:gridCol w:w="4394"/>
      </w:tblGrid>
      <w:tr w:rsidR="002E559A" w:rsidRPr="00D245BD" w14:paraId="36AD0CD1" w14:textId="77777777" w:rsidTr="004604FE">
        <w:tc>
          <w:tcPr>
            <w:tcW w:w="5382" w:type="dxa"/>
          </w:tcPr>
          <w:p w14:paraId="2892B3A3" w14:textId="77777777" w:rsidR="002E559A" w:rsidRPr="00D245BD" w:rsidRDefault="002E559A" w:rsidP="001F2FF8">
            <w:pPr>
              <w:pStyle w:val="NormalWeb"/>
              <w:spacing w:line="360" w:lineRule="auto"/>
              <w:jc w:val="both"/>
              <w:rPr>
                <w:sz w:val="22"/>
                <w:szCs w:val="22"/>
              </w:rPr>
            </w:pPr>
            <w:r w:rsidRPr="00D245BD">
              <w:rPr>
                <w:sz w:val="22"/>
                <w:szCs w:val="22"/>
              </w:rPr>
              <w:t>Test</w:t>
            </w:r>
          </w:p>
        </w:tc>
        <w:tc>
          <w:tcPr>
            <w:tcW w:w="4394" w:type="dxa"/>
          </w:tcPr>
          <w:p w14:paraId="1F024F68" w14:textId="77777777" w:rsidR="002E559A" w:rsidRPr="00D245BD" w:rsidRDefault="002E559A" w:rsidP="001F2FF8">
            <w:pPr>
              <w:pStyle w:val="NormalWeb"/>
              <w:spacing w:line="360" w:lineRule="auto"/>
              <w:jc w:val="both"/>
              <w:rPr>
                <w:sz w:val="22"/>
                <w:szCs w:val="22"/>
              </w:rPr>
            </w:pPr>
          </w:p>
        </w:tc>
      </w:tr>
      <w:tr w:rsidR="002E559A" w:rsidRPr="00D245BD" w14:paraId="67E8F5B3" w14:textId="77777777" w:rsidTr="004604FE">
        <w:tc>
          <w:tcPr>
            <w:tcW w:w="5382" w:type="dxa"/>
          </w:tcPr>
          <w:p w14:paraId="27D18512" w14:textId="77777777" w:rsidR="002E559A" w:rsidRPr="00D245BD" w:rsidRDefault="002E559A" w:rsidP="001F2FF8">
            <w:pPr>
              <w:pStyle w:val="NormalWeb"/>
              <w:spacing w:line="360" w:lineRule="auto"/>
              <w:jc w:val="both"/>
              <w:rPr>
                <w:sz w:val="22"/>
                <w:szCs w:val="22"/>
              </w:rPr>
            </w:pPr>
            <w:r w:rsidRPr="00D245BD">
              <w:rPr>
                <w:sz w:val="22"/>
                <w:szCs w:val="22"/>
              </w:rPr>
              <w:t xml:space="preserve">Arellano-Bond test for </w:t>
            </w:r>
            <w:proofErr w:type="gramStart"/>
            <w:r w:rsidRPr="00D245BD">
              <w:rPr>
                <w:sz w:val="22"/>
                <w:szCs w:val="22"/>
              </w:rPr>
              <w:t>AR(</w:t>
            </w:r>
            <w:proofErr w:type="gramEnd"/>
            <w:r w:rsidRPr="00D245BD">
              <w:rPr>
                <w:sz w:val="22"/>
                <w:szCs w:val="22"/>
              </w:rPr>
              <w:t>2) in first differences</w:t>
            </w:r>
          </w:p>
        </w:tc>
        <w:tc>
          <w:tcPr>
            <w:tcW w:w="4394" w:type="dxa"/>
          </w:tcPr>
          <w:p w14:paraId="2BEAC088" w14:textId="20CB0B1F" w:rsidR="002E559A" w:rsidRPr="00D245BD" w:rsidRDefault="002E559A" w:rsidP="001F2FF8">
            <w:pPr>
              <w:spacing w:line="360" w:lineRule="auto"/>
              <w:jc w:val="both"/>
              <w:rPr>
                <w:rFonts w:ascii="Times New Roman" w:hAnsi="Times New Roman" w:cs="Times New Roman"/>
              </w:rPr>
            </w:pPr>
            <w:r w:rsidRPr="00D245BD">
              <w:rPr>
                <w:rFonts w:ascii="Times New Roman" w:hAnsi="Times New Roman" w:cs="Times New Roman"/>
              </w:rPr>
              <w:t xml:space="preserve">z </w:t>
            </w:r>
            <w:r w:rsidR="00923BB0" w:rsidRPr="00D245BD">
              <w:rPr>
                <w:rFonts w:ascii="Times New Roman" w:hAnsi="Times New Roman" w:cs="Times New Roman"/>
              </w:rPr>
              <w:t>= -</w:t>
            </w:r>
            <w:r w:rsidRPr="00D245BD">
              <w:rPr>
                <w:rFonts w:ascii="Times New Roman" w:hAnsi="Times New Roman" w:cs="Times New Roman"/>
              </w:rPr>
              <w:t>1.</w:t>
            </w:r>
            <w:r w:rsidR="00923BB0" w:rsidRPr="00D245BD">
              <w:rPr>
                <w:rFonts w:ascii="Times New Roman" w:hAnsi="Times New Roman" w:cs="Times New Roman"/>
              </w:rPr>
              <w:t xml:space="preserve">41 </w:t>
            </w:r>
            <w:proofErr w:type="spellStart"/>
            <w:r w:rsidR="00923BB0" w:rsidRPr="00D245BD">
              <w:rPr>
                <w:rFonts w:ascii="Times New Roman" w:hAnsi="Times New Roman" w:cs="Times New Roman"/>
              </w:rPr>
              <w:t>Pr</w:t>
            </w:r>
            <w:proofErr w:type="spellEnd"/>
            <w:r w:rsidRPr="00D245BD">
              <w:rPr>
                <w:rFonts w:ascii="Times New Roman" w:hAnsi="Times New Roman" w:cs="Times New Roman"/>
              </w:rPr>
              <w:t xml:space="preserve"> &gt; z </w:t>
            </w:r>
            <w:r w:rsidR="00923BB0" w:rsidRPr="00D245BD">
              <w:rPr>
                <w:rFonts w:ascii="Times New Roman" w:hAnsi="Times New Roman" w:cs="Times New Roman"/>
              </w:rPr>
              <w:t>= 0</w:t>
            </w:r>
            <w:r w:rsidRPr="00D245BD">
              <w:rPr>
                <w:rFonts w:ascii="Times New Roman" w:hAnsi="Times New Roman" w:cs="Times New Roman"/>
              </w:rPr>
              <w:t>.358</w:t>
            </w:r>
          </w:p>
        </w:tc>
      </w:tr>
      <w:tr w:rsidR="002E559A" w:rsidRPr="00D245BD" w14:paraId="76E12CE6" w14:textId="77777777" w:rsidTr="004604FE">
        <w:tc>
          <w:tcPr>
            <w:tcW w:w="5382" w:type="dxa"/>
          </w:tcPr>
          <w:p w14:paraId="6F26BB20" w14:textId="77777777" w:rsidR="002E559A" w:rsidRPr="00D245BD" w:rsidRDefault="002E559A" w:rsidP="001F2FF8">
            <w:pPr>
              <w:pStyle w:val="NormalWeb"/>
              <w:spacing w:line="360" w:lineRule="auto"/>
              <w:jc w:val="both"/>
              <w:rPr>
                <w:sz w:val="22"/>
                <w:szCs w:val="22"/>
              </w:rPr>
            </w:pPr>
            <w:r w:rsidRPr="00D245BD">
              <w:rPr>
                <w:sz w:val="22"/>
                <w:szCs w:val="22"/>
              </w:rPr>
              <w:t xml:space="preserve">Hansen test of </w:t>
            </w:r>
            <w:proofErr w:type="spellStart"/>
            <w:r w:rsidRPr="00D245BD">
              <w:rPr>
                <w:sz w:val="22"/>
                <w:szCs w:val="22"/>
              </w:rPr>
              <w:t>overid</w:t>
            </w:r>
            <w:proofErr w:type="spellEnd"/>
            <w:r w:rsidRPr="00D245BD">
              <w:rPr>
                <w:sz w:val="22"/>
                <w:szCs w:val="22"/>
              </w:rPr>
              <w:t>. Restrictions</w:t>
            </w:r>
          </w:p>
        </w:tc>
        <w:tc>
          <w:tcPr>
            <w:tcW w:w="4394" w:type="dxa"/>
          </w:tcPr>
          <w:p w14:paraId="3BE5B86E" w14:textId="081F2177" w:rsidR="002E559A" w:rsidRPr="00D245BD" w:rsidRDefault="002E559A" w:rsidP="001F2FF8">
            <w:pPr>
              <w:pStyle w:val="NormalWeb"/>
              <w:spacing w:line="360" w:lineRule="auto"/>
              <w:jc w:val="both"/>
              <w:rPr>
                <w:sz w:val="22"/>
                <w:szCs w:val="22"/>
              </w:rPr>
            </w:pPr>
            <w:r w:rsidRPr="00D245BD">
              <w:rPr>
                <w:sz w:val="22"/>
                <w:szCs w:val="22"/>
              </w:rPr>
              <w:t xml:space="preserve">chi2(46)   </w:t>
            </w:r>
            <w:r w:rsidR="00923BB0" w:rsidRPr="00D245BD">
              <w:rPr>
                <w:sz w:val="22"/>
                <w:szCs w:val="22"/>
              </w:rPr>
              <w:t>= 11.31 Prob</w:t>
            </w:r>
            <w:r w:rsidRPr="00D245BD">
              <w:rPr>
                <w:sz w:val="22"/>
                <w:szCs w:val="22"/>
              </w:rPr>
              <w:t xml:space="preserve"> &gt; chi2 </w:t>
            </w:r>
            <w:r w:rsidR="00923BB0" w:rsidRPr="00D245BD">
              <w:rPr>
                <w:sz w:val="22"/>
                <w:szCs w:val="22"/>
              </w:rPr>
              <w:t>= 0</w:t>
            </w:r>
            <w:r w:rsidRPr="00D245BD">
              <w:rPr>
                <w:sz w:val="22"/>
                <w:szCs w:val="22"/>
              </w:rPr>
              <w:t>.247</w:t>
            </w:r>
          </w:p>
        </w:tc>
      </w:tr>
    </w:tbl>
    <w:p w14:paraId="378464B2" w14:textId="77777777" w:rsidR="002E559A" w:rsidRPr="00D245BD" w:rsidRDefault="002E559A" w:rsidP="001F2FF8">
      <w:pPr>
        <w:spacing w:after="0" w:line="360" w:lineRule="auto"/>
        <w:jc w:val="both"/>
        <w:rPr>
          <w:rFonts w:ascii="Times New Roman" w:hAnsi="Times New Roman" w:cs="Times New Roman"/>
          <w:b/>
          <w:bCs/>
          <w:iCs/>
        </w:rPr>
      </w:pPr>
      <w:r w:rsidRPr="00D245BD">
        <w:rPr>
          <w:rFonts w:ascii="Times New Roman" w:hAnsi="Times New Roman" w:cs="Times New Roman"/>
          <w:b/>
          <w:bCs/>
          <w:iCs/>
        </w:rPr>
        <w:t>Source: Authors’ Computation Using STATA 17, (2026)</w:t>
      </w:r>
    </w:p>
    <w:p w14:paraId="6D17E54A" w14:textId="2BB1EACB" w:rsidR="002E559A" w:rsidRPr="00D245BD" w:rsidRDefault="002E559A" w:rsidP="001F2FF8">
      <w:pPr>
        <w:spacing w:after="0" w:line="360" w:lineRule="auto"/>
        <w:ind w:firstLine="720"/>
        <w:jc w:val="both"/>
        <w:rPr>
          <w:rFonts w:ascii="Times New Roman" w:eastAsia="Times New Roman" w:hAnsi="Times New Roman" w:cs="Times New Roman"/>
          <w:lang w:eastAsia="en-NG"/>
        </w:rPr>
      </w:pPr>
      <w:r w:rsidRPr="00D245BD">
        <w:rPr>
          <w:rFonts w:ascii="Times New Roman" w:eastAsia="Times New Roman" w:hAnsi="Times New Roman" w:cs="Times New Roman"/>
          <w:lang w:eastAsia="en-NG"/>
        </w:rPr>
        <w:t>The Arellano</w:t>
      </w:r>
      <w:r w:rsidR="000A0125" w:rsidRPr="00D245BD">
        <w:rPr>
          <w:rFonts w:ascii="Times New Roman" w:eastAsia="Times New Roman" w:hAnsi="Times New Roman" w:cs="Times New Roman"/>
          <w:lang w:eastAsia="en-NG"/>
        </w:rPr>
        <w:t>-</w:t>
      </w:r>
      <w:r w:rsidRPr="00D245BD">
        <w:rPr>
          <w:rFonts w:ascii="Times New Roman" w:eastAsia="Times New Roman" w:hAnsi="Times New Roman" w:cs="Times New Roman"/>
          <w:lang w:eastAsia="en-NG"/>
        </w:rPr>
        <w:t>Bond test for second-order serial correlation [</w:t>
      </w:r>
      <w:proofErr w:type="gramStart"/>
      <w:r w:rsidRPr="00D245BD">
        <w:rPr>
          <w:rFonts w:ascii="Times New Roman" w:eastAsia="Times New Roman" w:hAnsi="Times New Roman" w:cs="Times New Roman"/>
          <w:lang w:eastAsia="en-NG"/>
        </w:rPr>
        <w:t>AR(</w:t>
      </w:r>
      <w:proofErr w:type="gramEnd"/>
      <w:r w:rsidRPr="00D245BD">
        <w:rPr>
          <w:rFonts w:ascii="Times New Roman" w:eastAsia="Times New Roman" w:hAnsi="Times New Roman" w:cs="Times New Roman"/>
          <w:lang w:eastAsia="en-NG"/>
        </w:rPr>
        <w:t xml:space="preserve">2)] in first-differenced residuals is used to evaluate autocorrelation in the disturbance term. The test's null hypothesis asserts that the error term does not exhibit serial correlation. There is no second-order serial correlation in the differenced residuals, as indicated by the reported p-value of 0.358 for the </w:t>
      </w:r>
      <w:proofErr w:type="gramStart"/>
      <w:r w:rsidRPr="00D245BD">
        <w:rPr>
          <w:rFonts w:ascii="Times New Roman" w:eastAsia="Times New Roman" w:hAnsi="Times New Roman" w:cs="Times New Roman"/>
          <w:lang w:eastAsia="en-NG"/>
        </w:rPr>
        <w:t>AR(</w:t>
      </w:r>
      <w:proofErr w:type="gramEnd"/>
      <w:r w:rsidRPr="00D245BD">
        <w:rPr>
          <w:rFonts w:ascii="Times New Roman" w:eastAsia="Times New Roman" w:hAnsi="Times New Roman" w:cs="Times New Roman"/>
          <w:lang w:eastAsia="en-NG"/>
        </w:rPr>
        <w:t>2) test in Table 4.</w:t>
      </w:r>
      <w:r w:rsidR="000A0125" w:rsidRPr="00D245BD">
        <w:rPr>
          <w:rFonts w:ascii="Times New Roman" w:eastAsia="Times New Roman" w:hAnsi="Times New Roman" w:cs="Times New Roman"/>
          <w:lang w:eastAsia="en-NG"/>
        </w:rPr>
        <w:t>4</w:t>
      </w:r>
      <w:r w:rsidRPr="00D245BD">
        <w:rPr>
          <w:rFonts w:ascii="Times New Roman" w:eastAsia="Times New Roman" w:hAnsi="Times New Roman" w:cs="Times New Roman"/>
          <w:lang w:eastAsia="en-NG"/>
        </w:rPr>
        <w:t xml:space="preserve">, which is insufficient to reject the null hypothesis at standard significance levels. Additionally, the instruments' general validity is assessed using the Hansen test of overidentifying limitations. The null hypothesis of instrument exogeneity cannot be rejected, according to the Hansen test, which produces a p-value of 0.247 that is substantially within the generally accepted range. This suggests that the </w:t>
      </w:r>
      <w:r w:rsidRPr="00D245BD">
        <w:rPr>
          <w:rFonts w:ascii="Times New Roman" w:eastAsia="Times New Roman" w:hAnsi="Times New Roman" w:cs="Times New Roman"/>
          <w:lang w:eastAsia="en-NG"/>
        </w:rPr>
        <w:lastRenderedPageBreak/>
        <w:t>selected instruments are jointly uncorrelated with the error term and appropriately omitted from the calculated equation, providing empirical support for their appropriateness and validity.</w:t>
      </w:r>
    </w:p>
    <w:p w14:paraId="63893F44" w14:textId="2C6EEFE3" w:rsidR="003029BB" w:rsidRPr="00D245BD" w:rsidRDefault="003029BB" w:rsidP="003029BB">
      <w:pPr>
        <w:spacing w:after="0" w:line="360" w:lineRule="auto"/>
        <w:jc w:val="both"/>
        <w:rPr>
          <w:rFonts w:ascii="Times New Roman" w:eastAsia="Times New Roman" w:hAnsi="Times New Roman" w:cs="Times New Roman"/>
          <w:b/>
          <w:bCs/>
          <w:lang w:eastAsia="en-NG"/>
        </w:rPr>
      </w:pPr>
      <w:r w:rsidRPr="00D245BD">
        <w:rPr>
          <w:rFonts w:ascii="Times New Roman" w:eastAsia="Times New Roman" w:hAnsi="Times New Roman" w:cs="Times New Roman"/>
          <w:b/>
          <w:bCs/>
          <w:lang w:eastAsia="en-NG"/>
        </w:rPr>
        <w:t>5.0 Conclusion and Recommendations</w:t>
      </w:r>
    </w:p>
    <w:p w14:paraId="146A19B5" w14:textId="77777777" w:rsidR="003029BB" w:rsidRPr="00D245BD" w:rsidRDefault="003029BB" w:rsidP="003029BB">
      <w:pPr>
        <w:spacing w:after="0" w:line="360" w:lineRule="auto"/>
        <w:jc w:val="both"/>
        <w:rPr>
          <w:rFonts w:ascii="Times New Roman" w:hAnsi="Times New Roman" w:cs="Times New Roman"/>
        </w:rPr>
      </w:pPr>
      <w:r w:rsidRPr="00D245BD">
        <w:rPr>
          <w:rFonts w:ascii="Times New Roman" w:eastAsia="Times New Roman" w:hAnsi="Times New Roman" w:cs="Times New Roman"/>
          <w:lang w:eastAsia="en-NG"/>
        </w:rPr>
        <w:tab/>
        <w:t xml:space="preserve">The study examined the interactive impact of health expenditure and institutional quality on life expectancy in Sub-Saharan Africa from 2000 to 2024, using panel data. System Generalized Method of Moment was employed to analysed the data. </w:t>
      </w:r>
      <w:r w:rsidRPr="00D245BD">
        <w:rPr>
          <w:rFonts w:ascii="Times New Roman" w:hAnsi="Times New Roman" w:cs="Times New Roman"/>
        </w:rPr>
        <w:t>The results show that both private and government health expenditure significantly improve life expectancy in Sub-Saharan Africa, with public health expenditure having a stronger impact. Among the institutional quality indicators, regulatory quality positively and significantly influences life expectancy, while government effectiveness has a statistically significant negative impact and control of corruption is not significant. The interaction results further reveal that effective governance enhances the positive impact of health expenditure on life expectancy, whereas weak corruption control and poor regulatory frameworks reduce the effectiveness of health expenditure, particularly public health expenditure. The year effects indicate a general upward trend in life expectancy over time, except for a decline in 2021, likely due to the effects of the COVID-19 pandemic.</w:t>
      </w:r>
    </w:p>
    <w:p w14:paraId="36F5A34B" w14:textId="376DA185" w:rsidR="003029BB" w:rsidRPr="00D245BD" w:rsidRDefault="00B86BEF" w:rsidP="003029BB">
      <w:pPr>
        <w:spacing w:after="0" w:line="360" w:lineRule="auto"/>
        <w:jc w:val="both"/>
        <w:rPr>
          <w:rFonts w:ascii="Times New Roman" w:hAnsi="Times New Roman" w:cs="Times New Roman"/>
        </w:rPr>
      </w:pPr>
      <w:r w:rsidRPr="00D245BD">
        <w:rPr>
          <w:rFonts w:ascii="Times New Roman" w:hAnsi="Times New Roman" w:cs="Times New Roman"/>
        </w:rPr>
        <w:tab/>
        <w:t>Based on these findings, the study recommends that:</w:t>
      </w:r>
    </w:p>
    <w:p w14:paraId="40727BC3" w14:textId="77777777"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lang w:eastAsia="en-NG"/>
        </w:rPr>
      </w:pPr>
      <w:r w:rsidRPr="00D245BD">
        <w:rPr>
          <w:rFonts w:ascii="Times New Roman" w:eastAsia="Times New Roman" w:hAnsi="Times New Roman" w:cs="Times New Roman"/>
          <w:kern w:val="0"/>
          <w:lang w:eastAsia="en-NG"/>
        </w:rPr>
        <w:t xml:space="preserve">Governments in Sub-Saharan Africa should expand both public and private health financing, as higher spending is consistently associated with improved life expectancy, particularly through better access to healthcare services and infrastructure. </w:t>
      </w:r>
    </w:p>
    <w:p w14:paraId="0302B791" w14:textId="77777777"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lang w:eastAsia="en-NG"/>
        </w:rPr>
      </w:pPr>
      <w:r w:rsidRPr="00D245BD">
        <w:rPr>
          <w:rFonts w:ascii="Times New Roman" w:eastAsia="Times New Roman" w:hAnsi="Times New Roman" w:cs="Times New Roman"/>
          <w:kern w:val="0"/>
          <w:lang w:eastAsia="en-NG"/>
        </w:rPr>
        <w:t xml:space="preserve">Since regulatory quality has a strong positive effect on life expectancy, policymakers should improve healthcare regulations, enforcement mechanisms, and service standards to ensure efficient delivery of health services. </w:t>
      </w:r>
    </w:p>
    <w:p w14:paraId="1A48F358" w14:textId="77777777"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lang w:eastAsia="en-NG"/>
        </w:rPr>
      </w:pPr>
      <w:r w:rsidRPr="00D245BD">
        <w:rPr>
          <w:rFonts w:ascii="Times New Roman" w:eastAsia="Times New Roman" w:hAnsi="Times New Roman" w:cs="Times New Roman"/>
          <w:kern w:val="0"/>
          <w:lang w:eastAsia="en-NG"/>
        </w:rPr>
        <w:t>Reforms should focus on enhancing public sector efficiency, strengthening health system management, and reducing bureaucratic inefficiencies given that weak government effectiveness reduces health outcomes directly and indirectly</w:t>
      </w:r>
    </w:p>
    <w:p w14:paraId="7BAC3D40" w14:textId="35D0AB76" w:rsidR="00B86BEF" w:rsidRPr="00D245BD" w:rsidRDefault="00B86BEF" w:rsidP="00B86BEF">
      <w:pPr>
        <w:pStyle w:val="ListParagraph"/>
        <w:numPr>
          <w:ilvl w:val="0"/>
          <w:numId w:val="3"/>
        </w:numPr>
        <w:spacing w:after="0" w:line="360" w:lineRule="auto"/>
        <w:jc w:val="both"/>
        <w:rPr>
          <w:rFonts w:ascii="Times New Roman" w:eastAsia="Times New Roman" w:hAnsi="Times New Roman" w:cs="Times New Roman"/>
          <w:kern w:val="0"/>
          <w:lang w:eastAsia="en-NG"/>
        </w:rPr>
      </w:pPr>
      <w:r w:rsidRPr="00D245BD">
        <w:rPr>
          <w:rFonts w:ascii="Times New Roman" w:eastAsia="Times New Roman" w:hAnsi="Times New Roman" w:cs="Times New Roman"/>
          <w:kern w:val="0"/>
          <w:lang w:eastAsia="en-NG"/>
        </w:rPr>
        <w:t>Although control of corruption shows mixed effects, its interaction with health spending suggests that corruption undermines health outcomes. Therefore, stronger anti-corruption measures, transparency in health budgeting, and strict monitoring of health funds are essential to maximize the impact of health expenditure.</w:t>
      </w:r>
    </w:p>
    <w:p w14:paraId="214E8FBB" w14:textId="2CE431A8" w:rsidR="006E778A" w:rsidRPr="00D245BD" w:rsidRDefault="006E778A" w:rsidP="006E778A">
      <w:pPr>
        <w:spacing w:after="0" w:line="360" w:lineRule="auto"/>
        <w:jc w:val="both"/>
        <w:rPr>
          <w:rFonts w:ascii="Times New Roman" w:eastAsia="Times New Roman" w:hAnsi="Times New Roman" w:cs="Times New Roman"/>
          <w:b/>
          <w:bCs/>
          <w:lang w:eastAsia="en-NG"/>
        </w:rPr>
      </w:pPr>
      <w:r w:rsidRPr="00D245BD">
        <w:rPr>
          <w:rFonts w:ascii="Times New Roman" w:eastAsia="Times New Roman" w:hAnsi="Times New Roman" w:cs="Times New Roman"/>
          <w:b/>
          <w:bCs/>
          <w:lang w:eastAsia="en-NG"/>
        </w:rPr>
        <w:t>References</w:t>
      </w:r>
    </w:p>
    <w:p w14:paraId="1A8B9FD9"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color w:val="222222"/>
          <w:shd w:val="clear" w:color="auto" w:fill="FFFFFF"/>
        </w:rPr>
        <w:t>Abubakar, S. (2020). Institutional quality and economic growth: Evidence from Nigeria. </w:t>
      </w:r>
      <w:r w:rsidRPr="00D245BD">
        <w:rPr>
          <w:rFonts w:ascii="Times New Roman" w:hAnsi="Times New Roman" w:cs="Times New Roman"/>
          <w:i/>
          <w:iCs/>
          <w:color w:val="222222"/>
          <w:shd w:val="clear" w:color="auto" w:fill="FFFFFF"/>
        </w:rPr>
        <w:t>African Journal of Economic Review</w:t>
      </w:r>
      <w:r w:rsidRPr="00D245BD">
        <w:rPr>
          <w:rFonts w:ascii="Times New Roman" w:hAnsi="Times New Roman" w:cs="Times New Roman"/>
          <w:color w:val="222222"/>
          <w:shd w:val="clear" w:color="auto" w:fill="FFFFFF"/>
        </w:rPr>
        <w:t>, </w:t>
      </w:r>
      <w:r w:rsidRPr="00D245BD">
        <w:rPr>
          <w:rFonts w:ascii="Times New Roman" w:hAnsi="Times New Roman" w:cs="Times New Roman"/>
          <w:i/>
          <w:iCs/>
          <w:color w:val="222222"/>
          <w:shd w:val="clear" w:color="auto" w:fill="FFFFFF"/>
        </w:rPr>
        <w:t>8</w:t>
      </w:r>
      <w:r w:rsidRPr="00D245BD">
        <w:rPr>
          <w:rFonts w:ascii="Times New Roman" w:hAnsi="Times New Roman" w:cs="Times New Roman"/>
          <w:color w:val="222222"/>
          <w:shd w:val="clear" w:color="auto" w:fill="FFFFFF"/>
        </w:rPr>
        <w:t>(1), 48-64.</w:t>
      </w:r>
    </w:p>
    <w:p w14:paraId="7980056B"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Anwar, A., Hyder, S., Mohamed Nor, N., &amp; Younis, M. (2023). Government health expenditures and health outcome nexus: a study on OECD countries. </w:t>
      </w:r>
      <w:r w:rsidRPr="00D245BD">
        <w:rPr>
          <w:rFonts w:ascii="Times New Roman" w:hAnsi="Times New Roman" w:cs="Times New Roman"/>
          <w:i/>
          <w:iCs/>
        </w:rPr>
        <w:t>Frontiers in Public Health</w:t>
      </w:r>
      <w:r w:rsidRPr="00D245BD">
        <w:rPr>
          <w:rFonts w:ascii="Times New Roman" w:hAnsi="Times New Roman" w:cs="Times New Roman"/>
        </w:rPr>
        <w:t>, </w:t>
      </w:r>
      <w:r w:rsidRPr="00D245BD">
        <w:rPr>
          <w:rFonts w:ascii="Times New Roman" w:hAnsi="Times New Roman" w:cs="Times New Roman"/>
          <w:i/>
          <w:iCs/>
        </w:rPr>
        <w:t>11</w:t>
      </w:r>
      <w:r w:rsidRPr="00D245BD">
        <w:rPr>
          <w:rFonts w:ascii="Times New Roman" w:hAnsi="Times New Roman" w:cs="Times New Roman"/>
        </w:rPr>
        <w:t>, 1123759.</w:t>
      </w:r>
    </w:p>
    <w:p w14:paraId="3F5CE5E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Awe, P. T., &amp; Abdulrahman, A. I. (2024). Institutional systems and quality of life in Sub-Saharan Africa. </w:t>
      </w:r>
      <w:r w:rsidRPr="00D245BD">
        <w:rPr>
          <w:rFonts w:ascii="Times New Roman" w:hAnsi="Times New Roman" w:cs="Times New Roman"/>
          <w:i/>
          <w:iCs/>
        </w:rPr>
        <w:t>Ilorin Journal of Economic Policy</w:t>
      </w:r>
      <w:r w:rsidRPr="00D245BD">
        <w:rPr>
          <w:rFonts w:ascii="Times New Roman" w:hAnsi="Times New Roman" w:cs="Times New Roman"/>
        </w:rPr>
        <w:t>, </w:t>
      </w:r>
      <w:r w:rsidRPr="00D245BD">
        <w:rPr>
          <w:rFonts w:ascii="Times New Roman" w:hAnsi="Times New Roman" w:cs="Times New Roman"/>
          <w:i/>
          <w:iCs/>
        </w:rPr>
        <w:t>11</w:t>
      </w:r>
      <w:r w:rsidRPr="00D245BD">
        <w:rPr>
          <w:rFonts w:ascii="Times New Roman" w:hAnsi="Times New Roman" w:cs="Times New Roman"/>
        </w:rPr>
        <w:t xml:space="preserve">(1), 57-68. </w:t>
      </w:r>
    </w:p>
    <w:p w14:paraId="69ED0837"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color w:val="222222"/>
          <w:shd w:val="clear" w:color="auto" w:fill="FFFFFF"/>
        </w:rPr>
        <w:lastRenderedPageBreak/>
        <w:t xml:space="preserve">Awoyemi, B. O., </w:t>
      </w:r>
      <w:proofErr w:type="spellStart"/>
      <w:r w:rsidRPr="00D245BD">
        <w:rPr>
          <w:rFonts w:ascii="Times New Roman" w:hAnsi="Times New Roman" w:cs="Times New Roman"/>
          <w:color w:val="222222"/>
          <w:shd w:val="clear" w:color="auto" w:fill="FFFFFF"/>
        </w:rPr>
        <w:t>Makanju</w:t>
      </w:r>
      <w:proofErr w:type="spellEnd"/>
      <w:r w:rsidRPr="00D245BD">
        <w:rPr>
          <w:rFonts w:ascii="Times New Roman" w:hAnsi="Times New Roman" w:cs="Times New Roman"/>
          <w:color w:val="222222"/>
          <w:shd w:val="clear" w:color="auto" w:fill="FFFFFF"/>
        </w:rPr>
        <w:t xml:space="preserve">, A. A., </w:t>
      </w:r>
      <w:proofErr w:type="spellStart"/>
      <w:r w:rsidRPr="00D245BD">
        <w:rPr>
          <w:rFonts w:ascii="Times New Roman" w:hAnsi="Times New Roman" w:cs="Times New Roman"/>
          <w:color w:val="222222"/>
          <w:shd w:val="clear" w:color="auto" w:fill="FFFFFF"/>
        </w:rPr>
        <w:t>Mpapalika</w:t>
      </w:r>
      <w:proofErr w:type="spellEnd"/>
      <w:r w:rsidRPr="00D245BD">
        <w:rPr>
          <w:rFonts w:ascii="Times New Roman" w:hAnsi="Times New Roman" w:cs="Times New Roman"/>
          <w:color w:val="222222"/>
          <w:shd w:val="clear" w:color="auto" w:fill="FFFFFF"/>
        </w:rPr>
        <w:t xml:space="preserve">, J., &amp; </w:t>
      </w:r>
      <w:proofErr w:type="spellStart"/>
      <w:r w:rsidRPr="00D245BD">
        <w:rPr>
          <w:rFonts w:ascii="Times New Roman" w:hAnsi="Times New Roman" w:cs="Times New Roman"/>
          <w:color w:val="222222"/>
          <w:shd w:val="clear" w:color="auto" w:fill="FFFFFF"/>
        </w:rPr>
        <w:t>Ekpeyo</w:t>
      </w:r>
      <w:proofErr w:type="spellEnd"/>
      <w:r w:rsidRPr="00D245BD">
        <w:rPr>
          <w:rFonts w:ascii="Times New Roman" w:hAnsi="Times New Roman" w:cs="Times New Roman"/>
          <w:color w:val="222222"/>
          <w:shd w:val="clear" w:color="auto" w:fill="FFFFFF"/>
        </w:rPr>
        <w:t>, R. S. (2023). A time series analysis of government expenditure and health outcomes in Nigeria. </w:t>
      </w:r>
      <w:r w:rsidRPr="00D245BD">
        <w:rPr>
          <w:rFonts w:ascii="Times New Roman" w:hAnsi="Times New Roman" w:cs="Times New Roman"/>
          <w:i/>
          <w:iCs/>
          <w:color w:val="222222"/>
          <w:shd w:val="clear" w:color="auto" w:fill="FFFFFF"/>
        </w:rPr>
        <w:t>Journal of public health in Africa</w:t>
      </w:r>
      <w:r w:rsidRPr="00D245BD">
        <w:rPr>
          <w:rFonts w:ascii="Times New Roman" w:hAnsi="Times New Roman" w:cs="Times New Roman"/>
          <w:color w:val="222222"/>
          <w:shd w:val="clear" w:color="auto" w:fill="FFFFFF"/>
        </w:rPr>
        <w:t>, </w:t>
      </w:r>
      <w:r w:rsidRPr="00D245BD">
        <w:rPr>
          <w:rFonts w:ascii="Times New Roman" w:hAnsi="Times New Roman" w:cs="Times New Roman"/>
          <w:i/>
          <w:iCs/>
          <w:color w:val="222222"/>
          <w:shd w:val="clear" w:color="auto" w:fill="FFFFFF"/>
        </w:rPr>
        <w:t>14</w:t>
      </w:r>
      <w:r w:rsidRPr="00D245BD">
        <w:rPr>
          <w:rFonts w:ascii="Times New Roman" w:hAnsi="Times New Roman" w:cs="Times New Roman"/>
          <w:color w:val="222222"/>
          <w:shd w:val="clear" w:color="auto" w:fill="FFFFFF"/>
        </w:rPr>
        <w:t>(7), 1409.</w:t>
      </w:r>
    </w:p>
    <w:p w14:paraId="45610763"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Aziz, N., He, J., Sarker, T., &amp; Sui, H. (2021). Exploring the role of health expenditure and maternal mortality in South Asian countries: an approach towards shaping better health policy. </w:t>
      </w:r>
      <w:r w:rsidRPr="00D245BD">
        <w:rPr>
          <w:rFonts w:ascii="Times New Roman" w:hAnsi="Times New Roman" w:cs="Times New Roman"/>
          <w:i/>
          <w:iCs/>
        </w:rPr>
        <w:t>International journal of environmental research and public health</w:t>
      </w:r>
      <w:r w:rsidRPr="00D245BD">
        <w:rPr>
          <w:rFonts w:ascii="Times New Roman" w:hAnsi="Times New Roman" w:cs="Times New Roman"/>
        </w:rPr>
        <w:t>, </w:t>
      </w:r>
      <w:r w:rsidRPr="00D245BD">
        <w:rPr>
          <w:rFonts w:ascii="Times New Roman" w:hAnsi="Times New Roman" w:cs="Times New Roman"/>
          <w:i/>
          <w:iCs/>
        </w:rPr>
        <w:t>18</w:t>
      </w:r>
      <w:r w:rsidRPr="00D245BD">
        <w:rPr>
          <w:rFonts w:ascii="Times New Roman" w:hAnsi="Times New Roman" w:cs="Times New Roman"/>
        </w:rPr>
        <w:t>(21), 11514.</w:t>
      </w:r>
    </w:p>
    <w:p w14:paraId="36653FE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Bein, M., &amp; Coker-Farrell, E. Y. (2020). The association between medical spending and health status: A study of selected African countries. </w:t>
      </w:r>
      <w:r w:rsidRPr="00D245BD">
        <w:rPr>
          <w:rFonts w:ascii="Times New Roman" w:hAnsi="Times New Roman" w:cs="Times New Roman"/>
          <w:i/>
          <w:iCs/>
        </w:rPr>
        <w:t>Malawi Medical Journal, 32</w:t>
      </w:r>
      <w:r w:rsidRPr="00D245BD">
        <w:rPr>
          <w:rFonts w:ascii="Times New Roman" w:hAnsi="Times New Roman" w:cs="Times New Roman"/>
        </w:rPr>
        <w:t>(1), 37–44. https://doi.org/10.4314/mmj.v32i1.8</w:t>
      </w:r>
    </w:p>
    <w:p w14:paraId="655139B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shd w:val="clear" w:color="auto" w:fill="FFFFFF"/>
        </w:rPr>
        <w:t>Bond, S. R. (2002). Dynamic panel data models: a guide to micro data methods and practice. </w:t>
      </w:r>
      <w:r w:rsidRPr="00D245BD">
        <w:rPr>
          <w:rFonts w:ascii="Times New Roman" w:hAnsi="Times New Roman" w:cs="Times New Roman"/>
          <w:i/>
          <w:iCs/>
          <w:shd w:val="clear" w:color="auto" w:fill="FFFFFF"/>
        </w:rPr>
        <w:t>Portuguese economic journal</w:t>
      </w:r>
      <w:r w:rsidRPr="00D245BD">
        <w:rPr>
          <w:rFonts w:ascii="Times New Roman" w:hAnsi="Times New Roman" w:cs="Times New Roman"/>
          <w:shd w:val="clear" w:color="auto" w:fill="FFFFFF"/>
        </w:rPr>
        <w:t>, </w:t>
      </w:r>
      <w:r w:rsidRPr="00D245BD">
        <w:rPr>
          <w:rFonts w:ascii="Times New Roman" w:hAnsi="Times New Roman" w:cs="Times New Roman"/>
          <w:i/>
          <w:iCs/>
          <w:shd w:val="clear" w:color="auto" w:fill="FFFFFF"/>
        </w:rPr>
        <w:t>1</w:t>
      </w:r>
      <w:r w:rsidRPr="00D245BD">
        <w:rPr>
          <w:rFonts w:ascii="Times New Roman" w:hAnsi="Times New Roman" w:cs="Times New Roman"/>
          <w:shd w:val="clear" w:color="auto" w:fill="FFFFFF"/>
        </w:rPr>
        <w:t>(2), 141-162.</w:t>
      </w:r>
    </w:p>
    <w:p w14:paraId="781FEF2E"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Bukari</w:t>
      </w:r>
      <w:proofErr w:type="spellEnd"/>
      <w:r w:rsidRPr="00D245BD">
        <w:rPr>
          <w:rFonts w:ascii="Times New Roman" w:hAnsi="Times New Roman" w:cs="Times New Roman"/>
        </w:rPr>
        <w:t xml:space="preserve">, C., Seth, S., &amp; </w:t>
      </w:r>
      <w:proofErr w:type="spellStart"/>
      <w:r w:rsidRPr="00D245BD">
        <w:rPr>
          <w:rFonts w:ascii="Times New Roman" w:hAnsi="Times New Roman" w:cs="Times New Roman"/>
        </w:rPr>
        <w:t>Yalonetkzy</w:t>
      </w:r>
      <w:proofErr w:type="spellEnd"/>
      <w:r w:rsidRPr="00D245BD">
        <w:rPr>
          <w:rFonts w:ascii="Times New Roman" w:hAnsi="Times New Roman" w:cs="Times New Roman"/>
        </w:rPr>
        <w:t xml:space="preserve">, G. (2024). Corruption can cause healthcare deprivation: Evidence from 29 sub-Saharan African countries. </w:t>
      </w:r>
      <w:r w:rsidRPr="00D245BD">
        <w:rPr>
          <w:rFonts w:ascii="Times New Roman" w:hAnsi="Times New Roman" w:cs="Times New Roman"/>
          <w:i/>
          <w:iCs/>
        </w:rPr>
        <w:t>World Development, 180</w:t>
      </w:r>
      <w:r w:rsidRPr="00D245BD">
        <w:rPr>
          <w:rFonts w:ascii="Times New Roman" w:hAnsi="Times New Roman" w:cs="Times New Roman"/>
        </w:rPr>
        <w:t>, 106630.</w:t>
      </w:r>
    </w:p>
    <w:p w14:paraId="7C279F69"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EBEH, J. E., &amp; ALILU, Y. S. (2024). Institutional Quality and Health Outcomes: Empirical Evidence from Nigeria. </w:t>
      </w:r>
      <w:r w:rsidRPr="00D245BD">
        <w:rPr>
          <w:rFonts w:ascii="Times New Roman" w:hAnsi="Times New Roman" w:cs="Times New Roman"/>
          <w:i/>
          <w:iCs/>
        </w:rPr>
        <w:t>Journal of the Management Sciences</w:t>
      </w:r>
      <w:r w:rsidRPr="00D245BD">
        <w:rPr>
          <w:rFonts w:ascii="Times New Roman" w:hAnsi="Times New Roman" w:cs="Times New Roman"/>
        </w:rPr>
        <w:t>, </w:t>
      </w:r>
      <w:r w:rsidRPr="00D245BD">
        <w:rPr>
          <w:rFonts w:ascii="Times New Roman" w:hAnsi="Times New Roman" w:cs="Times New Roman"/>
          <w:i/>
          <w:iCs/>
        </w:rPr>
        <w:t>61</w:t>
      </w:r>
      <w:r w:rsidRPr="00D245BD">
        <w:rPr>
          <w:rFonts w:ascii="Times New Roman" w:hAnsi="Times New Roman" w:cs="Times New Roman"/>
        </w:rPr>
        <w:t>(7), 258-279.</w:t>
      </w:r>
    </w:p>
    <w:p w14:paraId="171B67F9"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Gebrue</w:t>
      </w:r>
      <w:proofErr w:type="spellEnd"/>
      <w:r w:rsidRPr="00D245BD">
        <w:rPr>
          <w:rFonts w:ascii="Times New Roman" w:hAnsi="Times New Roman" w:cs="Times New Roman"/>
        </w:rPr>
        <w:t>, N. (2024). Institutional quality and economic growth in upper-middle-income African countries. </w:t>
      </w:r>
      <w:r w:rsidRPr="00D245BD">
        <w:rPr>
          <w:rFonts w:ascii="Times New Roman" w:hAnsi="Times New Roman" w:cs="Times New Roman"/>
          <w:i/>
          <w:iCs/>
        </w:rPr>
        <w:t>African Journal of Economic and Management Studies</w:t>
      </w:r>
      <w:r w:rsidRPr="00D245BD">
        <w:rPr>
          <w:rFonts w:ascii="Times New Roman" w:hAnsi="Times New Roman" w:cs="Times New Roman"/>
        </w:rPr>
        <w:t>.</w:t>
      </w:r>
    </w:p>
    <w:p w14:paraId="1170736E"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Grossman, M. (1972). </w:t>
      </w:r>
      <w:r w:rsidRPr="00D245BD">
        <w:rPr>
          <w:rFonts w:ascii="Times New Roman" w:hAnsi="Times New Roman" w:cs="Times New Roman"/>
          <w:i/>
          <w:iCs/>
        </w:rPr>
        <w:t>The demand for health: A theoretical and empirical investigation</w:t>
      </w:r>
      <w:r w:rsidRPr="00D245BD">
        <w:rPr>
          <w:rFonts w:ascii="Times New Roman" w:hAnsi="Times New Roman" w:cs="Times New Roman"/>
        </w:rPr>
        <w:t>. National Bureau of Economic Research. Distributed by Columbia University Press.</w:t>
      </w:r>
    </w:p>
    <w:p w14:paraId="220910BD"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Hadipour, A., Delavari, S., &amp; Bayati, M. (2023). What is the role of institutional quality in health outcomes? A panel data analysis on 158 countries from 2001–2020. </w:t>
      </w:r>
      <w:proofErr w:type="spellStart"/>
      <w:r w:rsidRPr="00D245BD">
        <w:rPr>
          <w:rFonts w:ascii="Times New Roman" w:hAnsi="Times New Roman" w:cs="Times New Roman"/>
          <w:i/>
          <w:iCs/>
        </w:rPr>
        <w:t>Heliyon</w:t>
      </w:r>
      <w:proofErr w:type="spellEnd"/>
      <w:r w:rsidRPr="00D245BD">
        <w:rPr>
          <w:rFonts w:ascii="Times New Roman" w:hAnsi="Times New Roman" w:cs="Times New Roman"/>
          <w:i/>
          <w:iCs/>
        </w:rPr>
        <w:t>, 9</w:t>
      </w:r>
      <w:r w:rsidRPr="00D245BD">
        <w:rPr>
          <w:rFonts w:ascii="Times New Roman" w:hAnsi="Times New Roman" w:cs="Times New Roman"/>
        </w:rPr>
        <w:t>(9), e20251.</w:t>
      </w:r>
    </w:p>
    <w:p w14:paraId="50D3EAF7"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Hadley, J. (1982). More medical care, better health? An economic analysis of mortality rates.</w:t>
      </w:r>
    </w:p>
    <w:p w14:paraId="6CE9EA6F"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Novignon</w:t>
      </w:r>
      <w:proofErr w:type="spellEnd"/>
      <w:r w:rsidRPr="00D245BD">
        <w:rPr>
          <w:rFonts w:ascii="Times New Roman" w:hAnsi="Times New Roman" w:cs="Times New Roman"/>
        </w:rPr>
        <w:t xml:space="preserve">, J., </w:t>
      </w:r>
      <w:proofErr w:type="spellStart"/>
      <w:r w:rsidRPr="00D245BD">
        <w:rPr>
          <w:rFonts w:ascii="Times New Roman" w:hAnsi="Times New Roman" w:cs="Times New Roman"/>
        </w:rPr>
        <w:t>Olakojo</w:t>
      </w:r>
      <w:proofErr w:type="spellEnd"/>
      <w:r w:rsidRPr="00D245BD">
        <w:rPr>
          <w:rFonts w:ascii="Times New Roman" w:hAnsi="Times New Roman" w:cs="Times New Roman"/>
        </w:rPr>
        <w:t xml:space="preserve">, S. A., &amp; </w:t>
      </w:r>
      <w:proofErr w:type="spellStart"/>
      <w:r w:rsidRPr="00D245BD">
        <w:rPr>
          <w:rFonts w:ascii="Times New Roman" w:hAnsi="Times New Roman" w:cs="Times New Roman"/>
        </w:rPr>
        <w:t>Nonvignon</w:t>
      </w:r>
      <w:proofErr w:type="spellEnd"/>
      <w:r w:rsidRPr="00D245BD">
        <w:rPr>
          <w:rFonts w:ascii="Times New Roman" w:hAnsi="Times New Roman" w:cs="Times New Roman"/>
        </w:rPr>
        <w:t xml:space="preserve">, J. (2012). The effects of public and private health care expenditure on health status in sub-Saharan Africa: New evidence from panel data analysis. </w:t>
      </w:r>
      <w:r w:rsidRPr="00D245BD">
        <w:rPr>
          <w:rFonts w:ascii="Times New Roman" w:hAnsi="Times New Roman" w:cs="Times New Roman"/>
          <w:i/>
          <w:iCs/>
        </w:rPr>
        <w:t>Health Economics Review, 2</w:t>
      </w:r>
      <w:r w:rsidRPr="00D245BD">
        <w:rPr>
          <w:rFonts w:ascii="Times New Roman" w:hAnsi="Times New Roman" w:cs="Times New Roman"/>
        </w:rPr>
        <w:t>, 1–8.</w:t>
      </w:r>
    </w:p>
    <w:p w14:paraId="64D382F5" w14:textId="77777777" w:rsidR="00363A01" w:rsidRPr="00D245BD" w:rsidRDefault="00363A01" w:rsidP="00363A01">
      <w:pPr>
        <w:pStyle w:val="Bibliography"/>
        <w:spacing w:after="0" w:line="360" w:lineRule="auto"/>
        <w:ind w:left="720" w:hanging="720"/>
        <w:jc w:val="both"/>
        <w:rPr>
          <w:rFonts w:ascii="Times New Roman" w:hAnsi="Times New Roman" w:cs="Times New Roman"/>
          <w:shd w:val="clear" w:color="auto" w:fill="FFFFFF"/>
        </w:rPr>
      </w:pPr>
      <w:proofErr w:type="spellStart"/>
      <w:r w:rsidRPr="00D245BD">
        <w:rPr>
          <w:rFonts w:ascii="Times New Roman" w:hAnsi="Times New Roman" w:cs="Times New Roman"/>
          <w:shd w:val="clear" w:color="auto" w:fill="FFFFFF"/>
        </w:rPr>
        <w:t>Pesaran</w:t>
      </w:r>
      <w:proofErr w:type="spellEnd"/>
      <w:r w:rsidRPr="00D245BD">
        <w:rPr>
          <w:rFonts w:ascii="Times New Roman" w:hAnsi="Times New Roman" w:cs="Times New Roman"/>
          <w:shd w:val="clear" w:color="auto" w:fill="FFFFFF"/>
        </w:rPr>
        <w:t>, M. H. (2007). A simple panel unit root test in the presence of cross‐section dependence. </w:t>
      </w:r>
      <w:r w:rsidRPr="00D245BD">
        <w:rPr>
          <w:rFonts w:ascii="Times New Roman" w:hAnsi="Times New Roman" w:cs="Times New Roman"/>
          <w:i/>
          <w:iCs/>
          <w:shd w:val="clear" w:color="auto" w:fill="FFFFFF"/>
        </w:rPr>
        <w:t>Journal of applied econometrics</w:t>
      </w:r>
      <w:r w:rsidRPr="00D245BD">
        <w:rPr>
          <w:rFonts w:ascii="Times New Roman" w:hAnsi="Times New Roman" w:cs="Times New Roman"/>
          <w:shd w:val="clear" w:color="auto" w:fill="FFFFFF"/>
        </w:rPr>
        <w:t>, </w:t>
      </w:r>
      <w:r w:rsidRPr="00D245BD">
        <w:rPr>
          <w:rFonts w:ascii="Times New Roman" w:hAnsi="Times New Roman" w:cs="Times New Roman"/>
          <w:i/>
          <w:iCs/>
          <w:shd w:val="clear" w:color="auto" w:fill="FFFFFF"/>
        </w:rPr>
        <w:t>22</w:t>
      </w:r>
      <w:r w:rsidRPr="00D245BD">
        <w:rPr>
          <w:rFonts w:ascii="Times New Roman" w:hAnsi="Times New Roman" w:cs="Times New Roman"/>
          <w:shd w:val="clear" w:color="auto" w:fill="FFFFFF"/>
        </w:rPr>
        <w:t>(2), 265-312.</w:t>
      </w:r>
    </w:p>
    <w:p w14:paraId="2153DABB"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color w:val="222222"/>
          <w:shd w:val="clear" w:color="auto" w:fill="FFFFFF"/>
        </w:rPr>
        <w:t>Rizvi, F. (2019). Global interconnectivity and its ethical challenges in education. </w:t>
      </w:r>
      <w:r w:rsidRPr="00D245BD">
        <w:rPr>
          <w:rFonts w:ascii="Times New Roman" w:hAnsi="Times New Roman" w:cs="Times New Roman"/>
          <w:i/>
          <w:iCs/>
          <w:color w:val="222222"/>
          <w:shd w:val="clear" w:color="auto" w:fill="FFFFFF"/>
        </w:rPr>
        <w:t>Asia Pacific Education Review</w:t>
      </w:r>
      <w:r w:rsidRPr="00D245BD">
        <w:rPr>
          <w:rFonts w:ascii="Times New Roman" w:hAnsi="Times New Roman" w:cs="Times New Roman"/>
          <w:color w:val="222222"/>
          <w:shd w:val="clear" w:color="auto" w:fill="FFFFFF"/>
        </w:rPr>
        <w:t>, </w:t>
      </w:r>
      <w:r w:rsidRPr="00D245BD">
        <w:rPr>
          <w:rFonts w:ascii="Times New Roman" w:hAnsi="Times New Roman" w:cs="Times New Roman"/>
          <w:i/>
          <w:iCs/>
          <w:color w:val="222222"/>
          <w:shd w:val="clear" w:color="auto" w:fill="FFFFFF"/>
        </w:rPr>
        <w:t>20</w:t>
      </w:r>
      <w:r w:rsidRPr="00D245BD">
        <w:rPr>
          <w:rFonts w:ascii="Times New Roman" w:hAnsi="Times New Roman" w:cs="Times New Roman"/>
          <w:color w:val="222222"/>
          <w:shd w:val="clear" w:color="auto" w:fill="FFFFFF"/>
        </w:rPr>
        <w:t>(2), 315-326.</w:t>
      </w:r>
    </w:p>
    <w:p w14:paraId="28FAF6B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Romer, P. M. (1996). Why, indeed, in America? Theory, history, and the origins of modern economic growth.</w:t>
      </w:r>
    </w:p>
    <w:p w14:paraId="3ED7F94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proofErr w:type="spellStart"/>
      <w:r w:rsidRPr="00D245BD">
        <w:rPr>
          <w:rFonts w:ascii="Times New Roman" w:hAnsi="Times New Roman" w:cs="Times New Roman"/>
        </w:rPr>
        <w:t>Sakariyahu</w:t>
      </w:r>
      <w:proofErr w:type="spellEnd"/>
      <w:r w:rsidRPr="00D245BD">
        <w:rPr>
          <w:rFonts w:ascii="Times New Roman" w:hAnsi="Times New Roman" w:cs="Times New Roman"/>
        </w:rPr>
        <w:t xml:space="preserve">, R., Fagbemi, T., Adigun, R., Lawal, R., Seyingbo, O., &amp; </w:t>
      </w:r>
      <w:proofErr w:type="spellStart"/>
      <w:r w:rsidRPr="00D245BD">
        <w:rPr>
          <w:rFonts w:ascii="Times New Roman" w:hAnsi="Times New Roman" w:cs="Times New Roman"/>
        </w:rPr>
        <w:t>Oyekola</w:t>
      </w:r>
      <w:proofErr w:type="spellEnd"/>
      <w:r w:rsidRPr="00D245BD">
        <w:rPr>
          <w:rFonts w:ascii="Times New Roman" w:hAnsi="Times New Roman" w:cs="Times New Roman"/>
        </w:rPr>
        <w:t xml:space="preserve">, O. (2024). Severity of environmental degradation and the impact on quality of life in Africa. </w:t>
      </w:r>
      <w:r w:rsidRPr="00D245BD">
        <w:rPr>
          <w:rFonts w:ascii="Times New Roman" w:hAnsi="Times New Roman" w:cs="Times New Roman"/>
          <w:i/>
          <w:iCs/>
        </w:rPr>
        <w:t>Journal of Environmental Management, 356</w:t>
      </w:r>
      <w:r w:rsidRPr="00D245BD">
        <w:rPr>
          <w:rFonts w:ascii="Times New Roman" w:hAnsi="Times New Roman" w:cs="Times New Roman"/>
        </w:rPr>
        <w:t>, 120537.</w:t>
      </w:r>
    </w:p>
    <w:p w14:paraId="7E835CCD"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Somi, M. F., Butler, J. R., Vahid, F., Njau, J. D., &amp; Abdulla, S. (2009). Household responses to health risks and shocks: a study from rural Tanzania raises some methodological issues. </w:t>
      </w:r>
      <w:r w:rsidRPr="00D245BD">
        <w:rPr>
          <w:rFonts w:ascii="Times New Roman" w:hAnsi="Times New Roman" w:cs="Times New Roman"/>
          <w:i/>
          <w:iCs/>
        </w:rPr>
        <w:t xml:space="preserve">Journal of </w:t>
      </w:r>
      <w:r w:rsidRPr="00D245BD">
        <w:rPr>
          <w:rFonts w:ascii="Times New Roman" w:hAnsi="Times New Roman" w:cs="Times New Roman"/>
          <w:i/>
          <w:iCs/>
        </w:rPr>
        <w:lastRenderedPageBreak/>
        <w:t>International Development: The Journal of the Development Studies Association</w:t>
      </w:r>
      <w:r w:rsidRPr="00D245BD">
        <w:rPr>
          <w:rFonts w:ascii="Times New Roman" w:hAnsi="Times New Roman" w:cs="Times New Roman"/>
        </w:rPr>
        <w:t>, </w:t>
      </w:r>
      <w:r w:rsidRPr="00D245BD">
        <w:rPr>
          <w:rFonts w:ascii="Times New Roman" w:hAnsi="Times New Roman" w:cs="Times New Roman"/>
          <w:i/>
          <w:iCs/>
        </w:rPr>
        <w:t>21</w:t>
      </w:r>
      <w:r w:rsidRPr="00D245BD">
        <w:rPr>
          <w:rFonts w:ascii="Times New Roman" w:hAnsi="Times New Roman" w:cs="Times New Roman"/>
        </w:rPr>
        <w:t>(2), 200-211.</w:t>
      </w:r>
    </w:p>
    <w:p w14:paraId="108C2B4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United Nations Office for Project Services. (2021). Global State of National Urban Policy 2021 Achieving Sustainable Development Goals and Delivering Climate Action.</w:t>
      </w:r>
    </w:p>
    <w:p w14:paraId="6C64C73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World Bank (2024). World Development Indicators, Data Base. </w:t>
      </w:r>
      <w:hyperlink r:id="rId9" w:history="1">
        <w:r w:rsidRPr="00D245BD">
          <w:rPr>
            <w:rStyle w:val="Hyperlink"/>
            <w:rFonts w:ascii="Times New Roman" w:hAnsi="Times New Roman" w:cs="Times New Roman"/>
          </w:rPr>
          <w:t>https://databank.worldbank.org/source/world-development-indicators</w:t>
        </w:r>
      </w:hyperlink>
    </w:p>
    <w:p w14:paraId="713B57F4"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World Bank (2026). World Development Indicators, Data Base. </w:t>
      </w:r>
      <w:hyperlink r:id="rId10" w:history="1">
        <w:r w:rsidRPr="00D245BD">
          <w:rPr>
            <w:rStyle w:val="Hyperlink"/>
            <w:rFonts w:ascii="Times New Roman" w:hAnsi="Times New Roman" w:cs="Times New Roman"/>
          </w:rPr>
          <w:t>https://databank.worldbank.org/source/world-development-indicators</w:t>
        </w:r>
      </w:hyperlink>
    </w:p>
    <w:p w14:paraId="0CAA16DE"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World Health Organization. (1948). </w:t>
      </w:r>
      <w:r w:rsidRPr="00D245BD">
        <w:rPr>
          <w:rFonts w:ascii="Times New Roman" w:hAnsi="Times New Roman" w:cs="Times New Roman"/>
          <w:i/>
          <w:iCs/>
        </w:rPr>
        <w:t>World Health Organisation newsletter</w:t>
      </w:r>
      <w:r w:rsidRPr="00D245BD">
        <w:rPr>
          <w:rFonts w:ascii="Times New Roman" w:hAnsi="Times New Roman" w:cs="Times New Roman"/>
        </w:rPr>
        <w:t> 2(1).</w:t>
      </w:r>
    </w:p>
    <w:p w14:paraId="743BF36D"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Yadav, P., &amp; Smith, L. (2014). </w:t>
      </w:r>
      <w:r w:rsidRPr="00D245BD">
        <w:rPr>
          <w:rFonts w:ascii="Times New Roman" w:hAnsi="Times New Roman" w:cs="Times New Roman"/>
          <w:i/>
          <w:iCs/>
        </w:rPr>
        <w:t>Pharmaceuticals and national health systems</w:t>
      </w:r>
      <w:r w:rsidRPr="00D245BD">
        <w:rPr>
          <w:rFonts w:ascii="Times New Roman" w:hAnsi="Times New Roman" w:cs="Times New Roman"/>
        </w:rPr>
        <w:t>.</w:t>
      </w:r>
    </w:p>
    <w:p w14:paraId="3AF67FF4"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 xml:space="preserve">Yang, L. H., Kim, J., &amp; Ahn, D. H. (2021). </w:t>
      </w:r>
      <w:r w:rsidRPr="00D245BD">
        <w:rPr>
          <w:rFonts w:ascii="Times New Roman" w:hAnsi="Times New Roman" w:cs="Times New Roman"/>
          <w:i/>
          <w:iCs/>
        </w:rPr>
        <w:t>Air pollution: An introduction to its causes, effects, and solutions</w:t>
      </w:r>
      <w:r w:rsidRPr="00D245BD">
        <w:rPr>
          <w:rFonts w:ascii="Times New Roman" w:hAnsi="Times New Roman" w:cs="Times New Roman"/>
        </w:rPr>
        <w:t>. Ministry of Foreign Affairs of the Republic of Korea &amp; National Council on Climate and Air Quality of the Republic of Korea.</w:t>
      </w:r>
    </w:p>
    <w:p w14:paraId="1D978816"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Yousaf, H., &amp; Riaz, K. (2024). How Institutional Quality Causes Financial Development? </w:t>
      </w:r>
      <w:r w:rsidRPr="00D245BD">
        <w:rPr>
          <w:rFonts w:ascii="Times New Roman" w:hAnsi="Times New Roman" w:cs="Times New Roman"/>
          <w:i/>
          <w:iCs/>
        </w:rPr>
        <w:t>The Developing Economies</w:t>
      </w:r>
      <w:r w:rsidRPr="00D245BD">
        <w:rPr>
          <w:rFonts w:ascii="Times New Roman" w:hAnsi="Times New Roman" w:cs="Times New Roman"/>
        </w:rPr>
        <w:t>, </w:t>
      </w:r>
      <w:r w:rsidRPr="00D245BD">
        <w:rPr>
          <w:rFonts w:ascii="Times New Roman" w:hAnsi="Times New Roman" w:cs="Times New Roman"/>
          <w:i/>
          <w:iCs/>
        </w:rPr>
        <w:t>62</w:t>
      </w:r>
      <w:r w:rsidRPr="00D245BD">
        <w:rPr>
          <w:rFonts w:ascii="Times New Roman" w:hAnsi="Times New Roman" w:cs="Times New Roman"/>
        </w:rPr>
        <w:t>(4), 380-408.</w:t>
      </w:r>
    </w:p>
    <w:p w14:paraId="594C82AA" w14:textId="77777777" w:rsidR="00363A01" w:rsidRPr="00D245BD" w:rsidRDefault="00363A01" w:rsidP="00363A01">
      <w:pPr>
        <w:pStyle w:val="Bibliography"/>
        <w:spacing w:after="0" w:line="360" w:lineRule="auto"/>
        <w:ind w:left="720" w:hanging="720"/>
        <w:jc w:val="both"/>
        <w:rPr>
          <w:rFonts w:ascii="Times New Roman" w:hAnsi="Times New Roman" w:cs="Times New Roman"/>
        </w:rPr>
      </w:pPr>
      <w:r w:rsidRPr="00D245BD">
        <w:rPr>
          <w:rFonts w:ascii="Times New Roman" w:hAnsi="Times New Roman" w:cs="Times New Roman"/>
        </w:rPr>
        <w:t>Zhou, D., Bassey, R. A., Yan, M., &amp; Aderemi, T. A. (2023). Do health expenditures affect under-five mortality and life expectancy in the ECOWAS Sub-Region? </w:t>
      </w:r>
      <w:r w:rsidRPr="00D245BD">
        <w:rPr>
          <w:rFonts w:ascii="Times New Roman" w:hAnsi="Times New Roman" w:cs="Times New Roman"/>
          <w:i/>
          <w:iCs/>
        </w:rPr>
        <w:t>African Journal of Reproductive Health</w:t>
      </w:r>
      <w:r w:rsidRPr="00D245BD">
        <w:rPr>
          <w:rFonts w:ascii="Times New Roman" w:hAnsi="Times New Roman" w:cs="Times New Roman"/>
        </w:rPr>
        <w:t>, </w:t>
      </w:r>
      <w:r w:rsidRPr="00D245BD">
        <w:rPr>
          <w:rFonts w:ascii="Times New Roman" w:hAnsi="Times New Roman" w:cs="Times New Roman"/>
          <w:i/>
          <w:iCs/>
        </w:rPr>
        <w:t>27</w:t>
      </w:r>
      <w:r w:rsidRPr="00D245BD">
        <w:rPr>
          <w:rFonts w:ascii="Times New Roman" w:hAnsi="Times New Roman" w:cs="Times New Roman"/>
        </w:rPr>
        <w:t>(8), 105-113.</w:t>
      </w:r>
    </w:p>
    <w:p w14:paraId="03DA477B" w14:textId="77777777" w:rsidR="00B86BEF" w:rsidRPr="00D245BD" w:rsidRDefault="00B86BEF" w:rsidP="003029BB">
      <w:pPr>
        <w:spacing w:after="0" w:line="360" w:lineRule="auto"/>
        <w:jc w:val="both"/>
        <w:rPr>
          <w:rFonts w:ascii="Times New Roman" w:eastAsia="Times New Roman" w:hAnsi="Times New Roman" w:cs="Times New Roman"/>
          <w:lang w:eastAsia="en-NG"/>
        </w:rPr>
      </w:pPr>
    </w:p>
    <w:p w14:paraId="7FED8D4B" w14:textId="77777777" w:rsidR="002E559A" w:rsidRPr="00D245BD" w:rsidRDefault="002E559A" w:rsidP="001F2FF8">
      <w:pPr>
        <w:spacing w:after="0" w:line="360" w:lineRule="auto"/>
        <w:jc w:val="both"/>
        <w:rPr>
          <w:rFonts w:ascii="Times New Roman" w:hAnsi="Times New Roman" w:cs="Times New Roman"/>
        </w:rPr>
      </w:pPr>
    </w:p>
    <w:p w14:paraId="6A6B8B9E" w14:textId="77777777" w:rsidR="008602CF" w:rsidRPr="00D245BD" w:rsidRDefault="008602CF" w:rsidP="001F2FF8">
      <w:pPr>
        <w:spacing w:after="0" w:line="360" w:lineRule="auto"/>
        <w:ind w:firstLine="720"/>
        <w:jc w:val="both"/>
        <w:rPr>
          <w:rFonts w:ascii="Times New Roman" w:hAnsi="Times New Roman" w:cs="Times New Roman"/>
        </w:rPr>
      </w:pPr>
    </w:p>
    <w:p w14:paraId="04B938AB" w14:textId="77777777" w:rsidR="00D36E5D" w:rsidRPr="00D245BD" w:rsidRDefault="00D36E5D" w:rsidP="001F2FF8">
      <w:pPr>
        <w:spacing w:after="0" w:line="360" w:lineRule="auto"/>
        <w:jc w:val="both"/>
        <w:rPr>
          <w:rFonts w:ascii="Times New Roman" w:hAnsi="Times New Roman" w:cs="Times New Roman"/>
          <w:b/>
          <w:bCs/>
        </w:rPr>
      </w:pPr>
    </w:p>
    <w:sectPr w:rsidR="00D36E5D" w:rsidRPr="00D2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8D8"/>
    <w:multiLevelType w:val="multilevel"/>
    <w:tmpl w:val="7AAA648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37C1377"/>
    <w:multiLevelType w:val="hybridMultilevel"/>
    <w:tmpl w:val="539603B6"/>
    <w:lvl w:ilvl="0" w:tplc="8148242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9DA262B"/>
    <w:multiLevelType w:val="hybridMultilevel"/>
    <w:tmpl w:val="48B6EEE4"/>
    <w:lvl w:ilvl="0" w:tplc="A226F492">
      <w:start w:val="1"/>
      <w:numFmt w:val="lowerRoman"/>
      <w:lvlText w:val="%1."/>
      <w:lvlJc w:val="left"/>
      <w:pPr>
        <w:ind w:left="1080" w:hanging="720"/>
      </w:pPr>
      <w:rPr>
        <w:rFonts w:hAnsi="Symbo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786849106">
    <w:abstractNumId w:val="1"/>
  </w:num>
  <w:num w:numId="2" w16cid:durableId="2109151972">
    <w:abstractNumId w:val="0"/>
  </w:num>
  <w:num w:numId="3" w16cid:durableId="52626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42"/>
    <w:rsid w:val="000A0125"/>
    <w:rsid w:val="000A7AF7"/>
    <w:rsid w:val="001649EF"/>
    <w:rsid w:val="00184FF0"/>
    <w:rsid w:val="001C6303"/>
    <w:rsid w:val="001E0AA4"/>
    <w:rsid w:val="001F2FF8"/>
    <w:rsid w:val="002831BA"/>
    <w:rsid w:val="002B74C5"/>
    <w:rsid w:val="002E13AA"/>
    <w:rsid w:val="002E559A"/>
    <w:rsid w:val="003029BB"/>
    <w:rsid w:val="00350F53"/>
    <w:rsid w:val="00361601"/>
    <w:rsid w:val="00363A01"/>
    <w:rsid w:val="00376410"/>
    <w:rsid w:val="003A2719"/>
    <w:rsid w:val="00414D71"/>
    <w:rsid w:val="004223EA"/>
    <w:rsid w:val="0045283E"/>
    <w:rsid w:val="00475D56"/>
    <w:rsid w:val="005042AF"/>
    <w:rsid w:val="005E56AC"/>
    <w:rsid w:val="006A5B50"/>
    <w:rsid w:val="006A755D"/>
    <w:rsid w:val="006E778A"/>
    <w:rsid w:val="007D7B42"/>
    <w:rsid w:val="00810CB6"/>
    <w:rsid w:val="008602CF"/>
    <w:rsid w:val="008D1FD9"/>
    <w:rsid w:val="008F6274"/>
    <w:rsid w:val="00923BB0"/>
    <w:rsid w:val="009422AA"/>
    <w:rsid w:val="0097401F"/>
    <w:rsid w:val="009D66E4"/>
    <w:rsid w:val="00A123F1"/>
    <w:rsid w:val="00A81654"/>
    <w:rsid w:val="00A81811"/>
    <w:rsid w:val="00A82F7F"/>
    <w:rsid w:val="00AD4FC8"/>
    <w:rsid w:val="00AE44CE"/>
    <w:rsid w:val="00B04A03"/>
    <w:rsid w:val="00B86BEF"/>
    <w:rsid w:val="00BD5322"/>
    <w:rsid w:val="00BE3911"/>
    <w:rsid w:val="00CF5074"/>
    <w:rsid w:val="00D245BD"/>
    <w:rsid w:val="00D36E5D"/>
    <w:rsid w:val="00D57B50"/>
    <w:rsid w:val="00E056DC"/>
    <w:rsid w:val="00E22B62"/>
    <w:rsid w:val="00E25501"/>
    <w:rsid w:val="00EB6603"/>
    <w:rsid w:val="00EF21CF"/>
    <w:rsid w:val="00F6698B"/>
    <w:rsid w:val="00FC6D9F"/>
    <w:rsid w:val="00FF148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C35A"/>
  <w15:chartTrackingRefBased/>
  <w15:docId w15:val="{705C9DAE-2418-4B37-9A1E-2D739765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5D56"/>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E559A"/>
    <w:pPr>
      <w:keepNext/>
      <w:keepLines/>
      <w:spacing w:before="160" w:after="80"/>
      <w:outlineLvl w:val="1"/>
    </w:pPr>
    <w:rPr>
      <w:rFonts w:ascii="Times New Roman" w:eastAsiaTheme="majorEastAsia" w:hAnsi="Times New Roman" w:cstheme="majorBidi"/>
      <w:kern w:val="2"/>
      <w:sz w:val="24"/>
      <w:szCs w:val="32"/>
      <w14:ligatures w14:val="standardContextual"/>
    </w:rPr>
  </w:style>
  <w:style w:type="paragraph" w:styleId="Heading3">
    <w:name w:val="heading 3"/>
    <w:basedOn w:val="Normal"/>
    <w:next w:val="Normal"/>
    <w:link w:val="Heading3Char"/>
    <w:uiPriority w:val="9"/>
    <w:unhideWhenUsed/>
    <w:qFormat/>
    <w:rsid w:val="002E559A"/>
    <w:pPr>
      <w:keepNext/>
      <w:keepLines/>
      <w:spacing w:before="160" w:after="80"/>
      <w:outlineLvl w:val="2"/>
    </w:pPr>
    <w:rPr>
      <w:rFonts w:ascii="Times New Roman" w:eastAsiaTheme="majorEastAsia" w:hAnsi="Times New Roman" w:cstheme="majorBidi"/>
      <w:kern w:val="2"/>
      <w:sz w:val="24"/>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B42"/>
    <w:pPr>
      <w:ind w:left="720"/>
      <w:contextualSpacing/>
    </w:pPr>
    <w:rPr>
      <w:kern w:val="2"/>
      <w14:ligatures w14:val="standardContextual"/>
    </w:rPr>
  </w:style>
  <w:style w:type="table" w:styleId="TableGrid">
    <w:name w:val="Table Grid"/>
    <w:basedOn w:val="TableNormal"/>
    <w:uiPriority w:val="59"/>
    <w:rsid w:val="005E56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559A"/>
    <w:rPr>
      <w:rFonts w:ascii="Times New Roman" w:eastAsiaTheme="majorEastAsia" w:hAnsi="Times New Roman" w:cstheme="majorBidi"/>
      <w:kern w:val="2"/>
      <w:sz w:val="24"/>
      <w:szCs w:val="32"/>
      <w:lang w:val="en-GB"/>
      <w14:ligatures w14:val="standardContextual"/>
    </w:rPr>
  </w:style>
  <w:style w:type="character" w:customStyle="1" w:styleId="Heading3Char">
    <w:name w:val="Heading 3 Char"/>
    <w:basedOn w:val="DefaultParagraphFont"/>
    <w:link w:val="Heading3"/>
    <w:uiPriority w:val="9"/>
    <w:rsid w:val="002E559A"/>
    <w:rPr>
      <w:rFonts w:ascii="Times New Roman" w:eastAsiaTheme="majorEastAsia" w:hAnsi="Times New Roman" w:cstheme="majorBidi"/>
      <w:kern w:val="2"/>
      <w:sz w:val="24"/>
      <w:szCs w:val="28"/>
      <w:lang w:val="en-GB"/>
      <w14:ligatures w14:val="standardContextual"/>
    </w:rPr>
  </w:style>
  <w:style w:type="paragraph" w:styleId="NormalWeb">
    <w:name w:val="Normal (Web)"/>
    <w:basedOn w:val="Normal"/>
    <w:uiPriority w:val="99"/>
    <w:unhideWhenUsed/>
    <w:rsid w:val="002E559A"/>
    <w:rPr>
      <w:rFonts w:ascii="Times New Roman" w:hAnsi="Times New Roman" w:cs="Times New Roman"/>
      <w:kern w:val="2"/>
      <w:sz w:val="24"/>
      <w:szCs w:val="24"/>
      <w14:ligatures w14:val="standardContextual"/>
    </w:rPr>
  </w:style>
  <w:style w:type="character" w:styleId="Strong">
    <w:name w:val="Strong"/>
    <w:basedOn w:val="DefaultParagraphFont"/>
    <w:uiPriority w:val="22"/>
    <w:qFormat/>
    <w:rsid w:val="002E559A"/>
    <w:rPr>
      <w:b/>
      <w:bCs/>
    </w:rPr>
  </w:style>
  <w:style w:type="character" w:customStyle="1" w:styleId="whitespace-normal">
    <w:name w:val="whitespace-normal"/>
    <w:basedOn w:val="DefaultParagraphFont"/>
    <w:rsid w:val="002831BA"/>
  </w:style>
  <w:style w:type="character" w:styleId="Hyperlink">
    <w:name w:val="Hyperlink"/>
    <w:basedOn w:val="DefaultParagraphFont"/>
    <w:uiPriority w:val="99"/>
    <w:unhideWhenUsed/>
    <w:rsid w:val="00376410"/>
    <w:rPr>
      <w:color w:val="0563C1" w:themeColor="hyperlink"/>
      <w:u w:val="single"/>
    </w:rPr>
  </w:style>
  <w:style w:type="character" w:styleId="PlaceholderText">
    <w:name w:val="Placeholder Text"/>
    <w:basedOn w:val="DefaultParagraphFont"/>
    <w:uiPriority w:val="99"/>
    <w:semiHidden/>
    <w:rsid w:val="00E22B62"/>
    <w:rPr>
      <w:color w:val="808080"/>
    </w:rPr>
  </w:style>
  <w:style w:type="character" w:customStyle="1" w:styleId="Heading1Char">
    <w:name w:val="Heading 1 Char"/>
    <w:basedOn w:val="DefaultParagraphFont"/>
    <w:link w:val="Heading1"/>
    <w:uiPriority w:val="9"/>
    <w:rsid w:val="00475D56"/>
    <w:rPr>
      <w:rFonts w:asciiTheme="majorHAnsi" w:eastAsiaTheme="majorEastAsia" w:hAnsiTheme="majorHAnsi" w:cstheme="majorBidi"/>
      <w:sz w:val="32"/>
      <w:szCs w:val="32"/>
      <w:lang w:val="en-GB"/>
    </w:rPr>
  </w:style>
  <w:style w:type="paragraph" w:styleId="Bibliography">
    <w:name w:val="Bibliography"/>
    <w:basedOn w:val="Normal"/>
    <w:next w:val="Normal"/>
    <w:uiPriority w:val="37"/>
    <w:unhideWhenUsed/>
    <w:rsid w:val="0036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owu.daniel@fukashere.edu.ng" TargetMode="External"/><Relationship Id="rId3" Type="http://schemas.openxmlformats.org/officeDocument/2006/relationships/styles" Target="styles.xml"/><Relationship Id="rId7" Type="http://schemas.openxmlformats.org/officeDocument/2006/relationships/hyperlink" Target="mailto:migonidauda@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irastephen32@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atabank.worldbank.org/source/world-development-indicators" TargetMode="External"/><Relationship Id="rId4" Type="http://schemas.openxmlformats.org/officeDocument/2006/relationships/settings" Target="settings.xml"/><Relationship Id="rId9" Type="http://schemas.openxmlformats.org/officeDocument/2006/relationships/hyperlink" Target="https://databank.worldbank.org/source/world-development-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2DA55-4E41-4E3C-946E-5996FEF6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6847</Words>
  <Characters>39030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2026-04-14T09:39:00Z</dcterms:created>
  <dcterms:modified xsi:type="dcterms:W3CDTF">2026-05-12T09:15:00Z</dcterms:modified>
</cp:coreProperties>
</file>