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C442" w14:textId="77777777" w:rsidR="00E522FE" w:rsidRDefault="00E522FE" w:rsidP="00A42386">
      <w:pPr>
        <w:spacing w:line="276" w:lineRule="auto"/>
        <w:jc w:val="center"/>
        <w:rPr>
          <w:rFonts w:ascii="Times New Roman" w:hAnsi="Times New Roman" w:cs="Times New Roman"/>
          <w:b/>
          <w:bCs/>
        </w:rPr>
      </w:pPr>
    </w:p>
    <w:p w14:paraId="6B04B9E8" w14:textId="77777777" w:rsidR="00E522FE" w:rsidRDefault="00E522FE" w:rsidP="00A42386">
      <w:pPr>
        <w:spacing w:line="276" w:lineRule="auto"/>
        <w:jc w:val="center"/>
        <w:rPr>
          <w:rFonts w:ascii="Times New Roman" w:hAnsi="Times New Roman" w:cs="Times New Roman"/>
          <w:b/>
          <w:bCs/>
        </w:rPr>
      </w:pPr>
    </w:p>
    <w:p w14:paraId="01105544" w14:textId="4212EC6C" w:rsidR="00EF0842" w:rsidRPr="00E522FE" w:rsidRDefault="0029684E" w:rsidP="00A42386">
      <w:pPr>
        <w:spacing w:line="276" w:lineRule="auto"/>
        <w:jc w:val="center"/>
        <w:rPr>
          <w:rFonts w:ascii="Times New Roman" w:hAnsi="Times New Roman" w:cs="Times New Roman"/>
          <w:b/>
          <w:bCs/>
          <w:sz w:val="32"/>
          <w:szCs w:val="32"/>
        </w:rPr>
      </w:pPr>
      <w:r w:rsidRPr="00E522FE">
        <w:rPr>
          <w:rFonts w:ascii="Times New Roman" w:hAnsi="Times New Roman" w:cs="Times New Roman"/>
          <w:b/>
          <w:bCs/>
          <w:sz w:val="32"/>
          <w:szCs w:val="32"/>
        </w:rPr>
        <w:t>Financial inclusion for rural women post‑2018 in Jharkhand</w:t>
      </w:r>
    </w:p>
    <w:p w14:paraId="63093001" w14:textId="77777777" w:rsidR="00E522FE" w:rsidRDefault="00E522FE" w:rsidP="00E522FE">
      <w:pPr>
        <w:spacing w:line="276" w:lineRule="auto"/>
        <w:rPr>
          <w:rFonts w:ascii="Times New Roman" w:hAnsi="Times New Roman" w:cs="Times New Roman"/>
          <w:b/>
          <w:bCs/>
        </w:rPr>
      </w:pPr>
    </w:p>
    <w:p w14:paraId="2F5CEED8" w14:textId="77777777" w:rsidR="00E522FE" w:rsidRPr="00493375" w:rsidRDefault="00E522FE" w:rsidP="00E522FE">
      <w:pPr>
        <w:spacing w:after="0"/>
        <w:jc w:val="both"/>
        <w:rPr>
          <w:rFonts w:ascii="Times New Roman" w:hAnsi="Times New Roman" w:cs="Times New Roman"/>
        </w:rPr>
      </w:pPr>
      <w:r>
        <w:rPr>
          <w:rFonts w:ascii="Times New Roman" w:hAnsi="Times New Roman" w:cs="Times New Roman"/>
        </w:rPr>
        <w:t>AMRIT HORO</w:t>
      </w:r>
    </w:p>
    <w:p w14:paraId="1B43AE29" w14:textId="77777777" w:rsidR="00E522FE" w:rsidRDefault="00E522FE" w:rsidP="00E522FE">
      <w:pPr>
        <w:spacing w:after="0"/>
        <w:jc w:val="both"/>
        <w:rPr>
          <w:rFonts w:ascii="Times New Roman" w:hAnsi="Times New Roman" w:cs="Times New Roman"/>
        </w:rPr>
      </w:pPr>
      <w:r>
        <w:rPr>
          <w:rFonts w:ascii="Times New Roman" w:hAnsi="Times New Roman" w:cs="Times New Roman"/>
        </w:rPr>
        <w:t xml:space="preserve">Assistant Professor, department of Commerce &amp; MBA, </w:t>
      </w:r>
    </w:p>
    <w:p w14:paraId="0E7D1EA2" w14:textId="77777777" w:rsidR="00E522FE" w:rsidRDefault="00E522FE" w:rsidP="00E522FE">
      <w:pPr>
        <w:spacing w:after="0"/>
        <w:jc w:val="both"/>
        <w:rPr>
          <w:rFonts w:ascii="Times New Roman" w:hAnsi="Times New Roman" w:cs="Times New Roman"/>
        </w:rPr>
      </w:pPr>
      <w:r>
        <w:rPr>
          <w:rFonts w:ascii="Times New Roman" w:hAnsi="Times New Roman" w:cs="Times New Roman"/>
        </w:rPr>
        <w:t>Sido Kanhu Murmu University, Dumka</w:t>
      </w:r>
    </w:p>
    <w:p w14:paraId="710CE81E" w14:textId="77777777" w:rsidR="00E522FE" w:rsidRDefault="00E522FE" w:rsidP="00E522FE">
      <w:pPr>
        <w:spacing w:after="0"/>
        <w:jc w:val="both"/>
        <w:rPr>
          <w:rFonts w:ascii="Times New Roman" w:hAnsi="Times New Roman" w:cs="Times New Roman"/>
        </w:rPr>
      </w:pPr>
      <w:r>
        <w:rPr>
          <w:rFonts w:ascii="Times New Roman" w:hAnsi="Times New Roman" w:cs="Times New Roman"/>
        </w:rPr>
        <w:t xml:space="preserve">Email id: </w:t>
      </w:r>
      <w:hyperlink r:id="rId5" w:history="1">
        <w:r w:rsidRPr="00DC3DB1">
          <w:rPr>
            <w:rStyle w:val="Hyperlink"/>
            <w:rFonts w:ascii="Times New Roman" w:hAnsi="Times New Roman" w:cs="Times New Roman"/>
          </w:rPr>
          <w:t>amrithoro06@gmail.com</w:t>
        </w:r>
      </w:hyperlink>
    </w:p>
    <w:p w14:paraId="1731BABE" w14:textId="77777777" w:rsidR="00E522FE" w:rsidRDefault="00E522FE" w:rsidP="00E522FE">
      <w:pPr>
        <w:spacing w:after="0"/>
        <w:jc w:val="both"/>
        <w:rPr>
          <w:rFonts w:ascii="Times New Roman" w:hAnsi="Times New Roman" w:cs="Times New Roman"/>
        </w:rPr>
      </w:pPr>
      <w:r>
        <w:rPr>
          <w:rFonts w:ascii="Times New Roman" w:hAnsi="Times New Roman" w:cs="Times New Roman"/>
        </w:rPr>
        <w:t>City: Ranchi</w:t>
      </w:r>
    </w:p>
    <w:p w14:paraId="69D5B79B" w14:textId="77777777" w:rsidR="00E522FE" w:rsidRDefault="00E522FE" w:rsidP="00E522FE">
      <w:pPr>
        <w:spacing w:after="0"/>
        <w:jc w:val="both"/>
        <w:rPr>
          <w:rFonts w:ascii="Times New Roman" w:hAnsi="Times New Roman" w:cs="Times New Roman"/>
        </w:rPr>
      </w:pPr>
      <w:r>
        <w:rPr>
          <w:rFonts w:ascii="Times New Roman" w:hAnsi="Times New Roman" w:cs="Times New Roman"/>
        </w:rPr>
        <w:t>State: Jharkhand</w:t>
      </w:r>
    </w:p>
    <w:p w14:paraId="46F19212" w14:textId="77777777" w:rsidR="00E522FE" w:rsidRDefault="00E522FE" w:rsidP="00E522FE">
      <w:pPr>
        <w:spacing w:after="0"/>
        <w:jc w:val="both"/>
        <w:rPr>
          <w:rFonts w:ascii="Times New Roman" w:hAnsi="Times New Roman" w:cs="Times New Roman"/>
        </w:rPr>
      </w:pPr>
      <w:r>
        <w:rPr>
          <w:rFonts w:ascii="Times New Roman" w:hAnsi="Times New Roman" w:cs="Times New Roman"/>
        </w:rPr>
        <w:t xml:space="preserve">Country: India </w:t>
      </w:r>
    </w:p>
    <w:p w14:paraId="3C7D916F" w14:textId="77777777" w:rsidR="00E522FE" w:rsidRDefault="00E522FE" w:rsidP="00E522FE">
      <w:pPr>
        <w:spacing w:after="0"/>
        <w:jc w:val="both"/>
        <w:rPr>
          <w:rFonts w:ascii="Times New Roman" w:hAnsi="Times New Roman" w:cs="Times New Roman"/>
        </w:rPr>
      </w:pPr>
      <w:r>
        <w:rPr>
          <w:rFonts w:ascii="Times New Roman" w:hAnsi="Times New Roman" w:cs="Times New Roman"/>
        </w:rPr>
        <w:t>Postcode: 835221</w:t>
      </w:r>
    </w:p>
    <w:p w14:paraId="39659631" w14:textId="77777777" w:rsidR="00E522FE" w:rsidRDefault="00E522FE" w:rsidP="00E522FE">
      <w:pPr>
        <w:spacing w:line="276" w:lineRule="auto"/>
        <w:rPr>
          <w:rFonts w:ascii="Times New Roman" w:hAnsi="Times New Roman" w:cs="Times New Roman"/>
          <w:b/>
          <w:bCs/>
        </w:rPr>
      </w:pPr>
    </w:p>
    <w:p w14:paraId="67D81F90" w14:textId="77777777" w:rsidR="00E522FE" w:rsidRDefault="00E522FE" w:rsidP="00A42386">
      <w:pPr>
        <w:spacing w:line="276" w:lineRule="auto"/>
        <w:jc w:val="center"/>
        <w:rPr>
          <w:rFonts w:ascii="Times New Roman" w:hAnsi="Times New Roman" w:cs="Times New Roman"/>
          <w:b/>
          <w:bCs/>
        </w:rPr>
      </w:pPr>
    </w:p>
    <w:p w14:paraId="4F308C29" w14:textId="77777777" w:rsidR="00E522FE" w:rsidRDefault="00E522FE" w:rsidP="00A42386">
      <w:pPr>
        <w:spacing w:line="276" w:lineRule="auto"/>
        <w:jc w:val="center"/>
        <w:rPr>
          <w:rFonts w:ascii="Times New Roman" w:hAnsi="Times New Roman" w:cs="Times New Roman"/>
          <w:b/>
          <w:bCs/>
        </w:rPr>
      </w:pPr>
    </w:p>
    <w:p w14:paraId="3E568C46" w14:textId="77777777" w:rsidR="00E522FE" w:rsidRDefault="00E522FE" w:rsidP="00A42386">
      <w:pPr>
        <w:spacing w:line="276" w:lineRule="auto"/>
        <w:jc w:val="center"/>
        <w:rPr>
          <w:rFonts w:ascii="Times New Roman" w:hAnsi="Times New Roman" w:cs="Times New Roman"/>
          <w:b/>
          <w:bCs/>
        </w:rPr>
      </w:pPr>
    </w:p>
    <w:p w14:paraId="36BFD93D" w14:textId="77777777" w:rsidR="00E522FE" w:rsidRDefault="00E522FE" w:rsidP="00A42386">
      <w:pPr>
        <w:spacing w:line="276" w:lineRule="auto"/>
        <w:jc w:val="center"/>
        <w:rPr>
          <w:rFonts w:ascii="Times New Roman" w:hAnsi="Times New Roman" w:cs="Times New Roman"/>
          <w:b/>
          <w:bCs/>
        </w:rPr>
      </w:pPr>
    </w:p>
    <w:p w14:paraId="3889A73B" w14:textId="77777777" w:rsidR="00E522FE" w:rsidRDefault="00E522FE" w:rsidP="00A42386">
      <w:pPr>
        <w:spacing w:line="276" w:lineRule="auto"/>
        <w:jc w:val="center"/>
        <w:rPr>
          <w:rFonts w:ascii="Times New Roman" w:hAnsi="Times New Roman" w:cs="Times New Roman"/>
          <w:b/>
          <w:bCs/>
        </w:rPr>
      </w:pPr>
    </w:p>
    <w:p w14:paraId="45AF5158" w14:textId="77777777" w:rsidR="00E522FE" w:rsidRDefault="00E522FE" w:rsidP="00A42386">
      <w:pPr>
        <w:spacing w:line="276" w:lineRule="auto"/>
        <w:jc w:val="center"/>
        <w:rPr>
          <w:rFonts w:ascii="Times New Roman" w:hAnsi="Times New Roman" w:cs="Times New Roman"/>
          <w:b/>
          <w:bCs/>
        </w:rPr>
      </w:pPr>
    </w:p>
    <w:p w14:paraId="6816D617" w14:textId="77777777" w:rsidR="00E522FE" w:rsidRDefault="00E522FE" w:rsidP="00A42386">
      <w:pPr>
        <w:spacing w:line="276" w:lineRule="auto"/>
        <w:jc w:val="center"/>
        <w:rPr>
          <w:rFonts w:ascii="Times New Roman" w:hAnsi="Times New Roman" w:cs="Times New Roman"/>
          <w:b/>
          <w:bCs/>
        </w:rPr>
      </w:pPr>
    </w:p>
    <w:p w14:paraId="1DA0D5E7" w14:textId="77777777" w:rsidR="00E522FE" w:rsidRDefault="00E522FE" w:rsidP="00A42386">
      <w:pPr>
        <w:spacing w:line="276" w:lineRule="auto"/>
        <w:jc w:val="center"/>
        <w:rPr>
          <w:rFonts w:ascii="Times New Roman" w:hAnsi="Times New Roman" w:cs="Times New Roman"/>
          <w:b/>
          <w:bCs/>
        </w:rPr>
      </w:pPr>
    </w:p>
    <w:p w14:paraId="715E2A5F" w14:textId="77777777" w:rsidR="00E522FE" w:rsidRDefault="00E522FE" w:rsidP="00A42386">
      <w:pPr>
        <w:spacing w:line="276" w:lineRule="auto"/>
        <w:jc w:val="center"/>
        <w:rPr>
          <w:rFonts w:ascii="Times New Roman" w:hAnsi="Times New Roman" w:cs="Times New Roman"/>
          <w:b/>
          <w:bCs/>
        </w:rPr>
      </w:pPr>
    </w:p>
    <w:p w14:paraId="5BC69129" w14:textId="77777777" w:rsidR="00E522FE" w:rsidRDefault="00E522FE" w:rsidP="00A42386">
      <w:pPr>
        <w:spacing w:line="276" w:lineRule="auto"/>
        <w:jc w:val="center"/>
        <w:rPr>
          <w:rFonts w:ascii="Times New Roman" w:hAnsi="Times New Roman" w:cs="Times New Roman"/>
          <w:b/>
          <w:bCs/>
        </w:rPr>
      </w:pPr>
    </w:p>
    <w:p w14:paraId="1936C2CB" w14:textId="77777777" w:rsidR="00E522FE" w:rsidRDefault="00E522FE" w:rsidP="00A42386">
      <w:pPr>
        <w:spacing w:line="276" w:lineRule="auto"/>
        <w:jc w:val="center"/>
        <w:rPr>
          <w:rFonts w:ascii="Times New Roman" w:hAnsi="Times New Roman" w:cs="Times New Roman"/>
          <w:b/>
          <w:bCs/>
        </w:rPr>
      </w:pPr>
    </w:p>
    <w:p w14:paraId="568F3D04" w14:textId="77777777" w:rsidR="00E522FE" w:rsidRDefault="00E522FE" w:rsidP="00A42386">
      <w:pPr>
        <w:spacing w:line="276" w:lineRule="auto"/>
        <w:jc w:val="center"/>
        <w:rPr>
          <w:rFonts w:ascii="Times New Roman" w:hAnsi="Times New Roman" w:cs="Times New Roman"/>
          <w:b/>
          <w:bCs/>
        </w:rPr>
      </w:pPr>
    </w:p>
    <w:p w14:paraId="2B528F77" w14:textId="77777777" w:rsidR="00E522FE" w:rsidRDefault="00E522FE" w:rsidP="00A42386">
      <w:pPr>
        <w:spacing w:line="276" w:lineRule="auto"/>
        <w:jc w:val="center"/>
        <w:rPr>
          <w:rFonts w:ascii="Times New Roman" w:hAnsi="Times New Roman" w:cs="Times New Roman"/>
          <w:b/>
          <w:bCs/>
        </w:rPr>
      </w:pPr>
    </w:p>
    <w:p w14:paraId="2AF92532" w14:textId="77777777" w:rsidR="00E522FE" w:rsidRDefault="00E522FE" w:rsidP="00A42386">
      <w:pPr>
        <w:spacing w:line="276" w:lineRule="auto"/>
        <w:jc w:val="center"/>
        <w:rPr>
          <w:rFonts w:ascii="Times New Roman" w:hAnsi="Times New Roman" w:cs="Times New Roman"/>
          <w:b/>
          <w:bCs/>
        </w:rPr>
      </w:pPr>
    </w:p>
    <w:p w14:paraId="3E398B01" w14:textId="77777777" w:rsidR="00E522FE" w:rsidRDefault="00E522FE" w:rsidP="00A42386">
      <w:pPr>
        <w:spacing w:line="276" w:lineRule="auto"/>
        <w:jc w:val="center"/>
        <w:rPr>
          <w:rFonts w:ascii="Times New Roman" w:hAnsi="Times New Roman" w:cs="Times New Roman"/>
          <w:b/>
          <w:bCs/>
        </w:rPr>
      </w:pPr>
    </w:p>
    <w:p w14:paraId="663F1AB8" w14:textId="77777777" w:rsidR="00E522FE" w:rsidRDefault="00E522FE" w:rsidP="00A42386">
      <w:pPr>
        <w:spacing w:line="276" w:lineRule="auto"/>
        <w:jc w:val="center"/>
        <w:rPr>
          <w:rFonts w:ascii="Times New Roman" w:hAnsi="Times New Roman" w:cs="Times New Roman"/>
          <w:b/>
          <w:bCs/>
        </w:rPr>
      </w:pPr>
    </w:p>
    <w:p w14:paraId="3FC08D09" w14:textId="77777777" w:rsidR="00E522FE" w:rsidRDefault="00E522FE" w:rsidP="00A42386">
      <w:pPr>
        <w:spacing w:line="276" w:lineRule="auto"/>
        <w:jc w:val="center"/>
        <w:rPr>
          <w:rFonts w:ascii="Times New Roman" w:hAnsi="Times New Roman" w:cs="Times New Roman"/>
          <w:b/>
          <w:bCs/>
        </w:rPr>
      </w:pPr>
    </w:p>
    <w:p w14:paraId="738F05CA" w14:textId="77777777" w:rsidR="00E522FE" w:rsidRDefault="00E522FE" w:rsidP="00A42386">
      <w:pPr>
        <w:spacing w:line="276" w:lineRule="auto"/>
        <w:jc w:val="center"/>
        <w:rPr>
          <w:rFonts w:ascii="Times New Roman" w:hAnsi="Times New Roman" w:cs="Times New Roman"/>
          <w:b/>
          <w:bCs/>
        </w:rPr>
      </w:pPr>
    </w:p>
    <w:p w14:paraId="72ADCEE4" w14:textId="77777777" w:rsidR="00E522FE" w:rsidRDefault="00E522FE" w:rsidP="00A42386">
      <w:pPr>
        <w:spacing w:line="276" w:lineRule="auto"/>
        <w:jc w:val="center"/>
        <w:rPr>
          <w:rFonts w:ascii="Times New Roman" w:hAnsi="Times New Roman" w:cs="Times New Roman"/>
          <w:b/>
          <w:bCs/>
        </w:rPr>
      </w:pPr>
    </w:p>
    <w:p w14:paraId="36A86D54" w14:textId="77777777" w:rsidR="00E522FE" w:rsidRDefault="00E522FE" w:rsidP="00E522FE">
      <w:pPr>
        <w:spacing w:line="276" w:lineRule="auto"/>
        <w:rPr>
          <w:rFonts w:ascii="Times New Roman" w:hAnsi="Times New Roman" w:cs="Times New Roman"/>
          <w:b/>
          <w:bCs/>
        </w:rPr>
      </w:pPr>
    </w:p>
    <w:p w14:paraId="4EE862A7" w14:textId="77777777" w:rsidR="00E522FE" w:rsidRDefault="00E522FE" w:rsidP="00A42386">
      <w:pPr>
        <w:spacing w:line="276" w:lineRule="auto"/>
        <w:jc w:val="center"/>
        <w:rPr>
          <w:rFonts w:ascii="Times New Roman" w:hAnsi="Times New Roman" w:cs="Times New Roman"/>
          <w:b/>
          <w:bCs/>
        </w:rPr>
      </w:pPr>
    </w:p>
    <w:p w14:paraId="36162C8D" w14:textId="48FBFFDE" w:rsidR="00A42386" w:rsidRPr="00E522FE" w:rsidRDefault="00A42386" w:rsidP="00E522FE">
      <w:pPr>
        <w:spacing w:line="276" w:lineRule="auto"/>
        <w:jc w:val="center"/>
        <w:rPr>
          <w:rFonts w:ascii="Times New Roman" w:hAnsi="Times New Roman" w:cs="Times New Roman"/>
          <w:b/>
          <w:bCs/>
          <w:sz w:val="28"/>
          <w:szCs w:val="28"/>
        </w:rPr>
      </w:pPr>
      <w:r w:rsidRPr="00E522FE">
        <w:rPr>
          <w:rFonts w:ascii="Times New Roman" w:hAnsi="Times New Roman" w:cs="Times New Roman"/>
          <w:b/>
          <w:bCs/>
          <w:sz w:val="28"/>
          <w:szCs w:val="28"/>
        </w:rPr>
        <w:lastRenderedPageBreak/>
        <w:t>Abstract</w:t>
      </w:r>
    </w:p>
    <w:p w14:paraId="3010377F" w14:textId="2D04F726" w:rsidR="00A42386" w:rsidRPr="00E522FE"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This study examines the impact of financial inclusion initiatives on rural women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w:t>
      </w:r>
      <w:r w:rsidR="004A21E4" w:rsidRPr="00E522FE">
        <w:rPr>
          <w:rFonts w:ascii="Times New Roman" w:hAnsi="Times New Roman" w:cs="Times New Roman"/>
          <w:sz w:val="24"/>
          <w:szCs w:val="24"/>
        </w:rPr>
        <w:t xml:space="preserve"> at </w:t>
      </w:r>
      <w:r w:rsidRPr="00E522FE">
        <w:rPr>
          <w:rFonts w:ascii="Times New Roman" w:hAnsi="Times New Roman" w:cs="Times New Roman"/>
          <w:sz w:val="24"/>
          <w:szCs w:val="24"/>
        </w:rPr>
        <w:t>Jharkhand. Using a mixed-method research design, the study surveyed 150 SHG women across four tribal blocks and employed statistical tools alongside qualitative thematic analysis. Results reveal a significant increase in income post SHG engagement, with the average monthly income rising from ₹2,150 to ₹5,780. Despite a weak correlation between loan size and income growth, qualitative data emphasized increased financial confidence, digital transaction trust, and livelihood diversification. The Digital Inclusion Index (DII) averaged 0.72, indicating strong digital engagement. SWOT analysis highlighted opportunities in BC Sakhi models and digital banking but also noted challenges in infrastructure and loan access. Overall, the study underscores that financial inclusion, when embedded in community-driven and digitally supported frameworks, can empower rural women economically and socially. The findings inform scalable strategies for inclusive rural development.</w:t>
      </w:r>
    </w:p>
    <w:p w14:paraId="6BC5FF8E" w14:textId="77777777" w:rsidR="00A42386" w:rsidRPr="00E522FE" w:rsidRDefault="00A42386" w:rsidP="00A42386">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Keywords</w:t>
      </w:r>
    </w:p>
    <w:p w14:paraId="48634378" w14:textId="28C0E71B" w:rsidR="0029684E" w:rsidRPr="00E522FE" w:rsidRDefault="00A42386"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Financial Inclusion, Rural Women, SHG Empowerment, Digital Finance, Livelihood Development and Jharkhand Tribal Economy.</w:t>
      </w:r>
    </w:p>
    <w:p w14:paraId="4587E61C" w14:textId="77777777" w:rsidR="00191ABC" w:rsidRDefault="00191ABC" w:rsidP="00C736C1">
      <w:pPr>
        <w:spacing w:line="276" w:lineRule="auto"/>
        <w:jc w:val="both"/>
        <w:rPr>
          <w:rFonts w:ascii="Times New Roman" w:hAnsi="Times New Roman" w:cs="Times New Roman"/>
          <w:b/>
          <w:bCs/>
          <w:sz w:val="28"/>
          <w:szCs w:val="28"/>
        </w:rPr>
      </w:pPr>
    </w:p>
    <w:p w14:paraId="7F00F154" w14:textId="77777777" w:rsidR="00191ABC" w:rsidRDefault="00191ABC" w:rsidP="00C736C1">
      <w:pPr>
        <w:spacing w:line="276" w:lineRule="auto"/>
        <w:jc w:val="both"/>
        <w:rPr>
          <w:rFonts w:ascii="Times New Roman" w:hAnsi="Times New Roman" w:cs="Times New Roman"/>
          <w:b/>
          <w:bCs/>
          <w:sz w:val="28"/>
          <w:szCs w:val="28"/>
        </w:rPr>
      </w:pPr>
    </w:p>
    <w:p w14:paraId="755FBE3F" w14:textId="77777777" w:rsidR="00191ABC" w:rsidRDefault="00191ABC" w:rsidP="00C736C1">
      <w:pPr>
        <w:spacing w:line="276" w:lineRule="auto"/>
        <w:jc w:val="both"/>
        <w:rPr>
          <w:rFonts w:ascii="Times New Roman" w:hAnsi="Times New Roman" w:cs="Times New Roman"/>
          <w:b/>
          <w:bCs/>
          <w:sz w:val="28"/>
          <w:szCs w:val="28"/>
        </w:rPr>
      </w:pPr>
    </w:p>
    <w:p w14:paraId="603321E4" w14:textId="77777777" w:rsidR="00191ABC" w:rsidRDefault="00191ABC" w:rsidP="00C736C1">
      <w:pPr>
        <w:spacing w:line="276" w:lineRule="auto"/>
        <w:jc w:val="both"/>
        <w:rPr>
          <w:rFonts w:ascii="Times New Roman" w:hAnsi="Times New Roman" w:cs="Times New Roman"/>
          <w:b/>
          <w:bCs/>
          <w:sz w:val="28"/>
          <w:szCs w:val="28"/>
        </w:rPr>
      </w:pPr>
    </w:p>
    <w:p w14:paraId="5FD5A671" w14:textId="77777777" w:rsidR="00191ABC" w:rsidRDefault="00191ABC" w:rsidP="00C736C1">
      <w:pPr>
        <w:spacing w:line="276" w:lineRule="auto"/>
        <w:jc w:val="both"/>
        <w:rPr>
          <w:rFonts w:ascii="Times New Roman" w:hAnsi="Times New Roman" w:cs="Times New Roman"/>
          <w:b/>
          <w:bCs/>
          <w:sz w:val="28"/>
          <w:szCs w:val="28"/>
        </w:rPr>
      </w:pPr>
    </w:p>
    <w:p w14:paraId="37B59B34" w14:textId="77777777" w:rsidR="00191ABC" w:rsidRDefault="00191ABC" w:rsidP="00C736C1">
      <w:pPr>
        <w:spacing w:line="276" w:lineRule="auto"/>
        <w:jc w:val="both"/>
        <w:rPr>
          <w:rFonts w:ascii="Times New Roman" w:hAnsi="Times New Roman" w:cs="Times New Roman"/>
          <w:b/>
          <w:bCs/>
          <w:sz w:val="28"/>
          <w:szCs w:val="28"/>
        </w:rPr>
      </w:pPr>
    </w:p>
    <w:p w14:paraId="77FA9F1F" w14:textId="77777777" w:rsidR="00191ABC" w:rsidRDefault="00191ABC" w:rsidP="00C736C1">
      <w:pPr>
        <w:spacing w:line="276" w:lineRule="auto"/>
        <w:jc w:val="both"/>
        <w:rPr>
          <w:rFonts w:ascii="Times New Roman" w:hAnsi="Times New Roman" w:cs="Times New Roman"/>
          <w:b/>
          <w:bCs/>
          <w:sz w:val="28"/>
          <w:szCs w:val="28"/>
        </w:rPr>
      </w:pPr>
    </w:p>
    <w:p w14:paraId="67D6D584" w14:textId="77777777" w:rsidR="00191ABC" w:rsidRDefault="00191ABC" w:rsidP="00C736C1">
      <w:pPr>
        <w:spacing w:line="276" w:lineRule="auto"/>
        <w:jc w:val="both"/>
        <w:rPr>
          <w:rFonts w:ascii="Times New Roman" w:hAnsi="Times New Roman" w:cs="Times New Roman"/>
          <w:b/>
          <w:bCs/>
          <w:sz w:val="28"/>
          <w:szCs w:val="28"/>
        </w:rPr>
      </w:pPr>
    </w:p>
    <w:p w14:paraId="5CE54B64" w14:textId="77777777" w:rsidR="00191ABC" w:rsidRDefault="00191ABC" w:rsidP="00C736C1">
      <w:pPr>
        <w:spacing w:line="276" w:lineRule="auto"/>
        <w:jc w:val="both"/>
        <w:rPr>
          <w:rFonts w:ascii="Times New Roman" w:hAnsi="Times New Roman" w:cs="Times New Roman"/>
          <w:b/>
          <w:bCs/>
          <w:sz w:val="28"/>
          <w:szCs w:val="28"/>
        </w:rPr>
      </w:pPr>
    </w:p>
    <w:p w14:paraId="4358046C" w14:textId="77777777" w:rsidR="00191ABC" w:rsidRDefault="00191ABC" w:rsidP="00C736C1">
      <w:pPr>
        <w:spacing w:line="276" w:lineRule="auto"/>
        <w:jc w:val="both"/>
        <w:rPr>
          <w:rFonts w:ascii="Times New Roman" w:hAnsi="Times New Roman" w:cs="Times New Roman"/>
          <w:b/>
          <w:bCs/>
          <w:sz w:val="28"/>
          <w:szCs w:val="28"/>
        </w:rPr>
      </w:pPr>
    </w:p>
    <w:p w14:paraId="1B8DED3D" w14:textId="77777777" w:rsidR="00191ABC" w:rsidRDefault="00191ABC" w:rsidP="00C736C1">
      <w:pPr>
        <w:spacing w:line="276" w:lineRule="auto"/>
        <w:jc w:val="both"/>
        <w:rPr>
          <w:rFonts w:ascii="Times New Roman" w:hAnsi="Times New Roman" w:cs="Times New Roman"/>
          <w:b/>
          <w:bCs/>
          <w:sz w:val="28"/>
          <w:szCs w:val="28"/>
        </w:rPr>
      </w:pPr>
    </w:p>
    <w:p w14:paraId="7190DEE7" w14:textId="77777777" w:rsidR="00191ABC" w:rsidRDefault="00191ABC" w:rsidP="00C736C1">
      <w:pPr>
        <w:spacing w:line="276" w:lineRule="auto"/>
        <w:jc w:val="both"/>
        <w:rPr>
          <w:rFonts w:ascii="Times New Roman" w:hAnsi="Times New Roman" w:cs="Times New Roman"/>
          <w:b/>
          <w:bCs/>
          <w:sz w:val="28"/>
          <w:szCs w:val="28"/>
        </w:rPr>
      </w:pPr>
    </w:p>
    <w:p w14:paraId="4E3C8202" w14:textId="77777777" w:rsidR="00191ABC" w:rsidRDefault="00191ABC" w:rsidP="00C736C1">
      <w:pPr>
        <w:spacing w:line="276" w:lineRule="auto"/>
        <w:jc w:val="both"/>
        <w:rPr>
          <w:rFonts w:ascii="Times New Roman" w:hAnsi="Times New Roman" w:cs="Times New Roman"/>
          <w:b/>
          <w:bCs/>
          <w:sz w:val="28"/>
          <w:szCs w:val="28"/>
        </w:rPr>
      </w:pPr>
    </w:p>
    <w:p w14:paraId="7D596631" w14:textId="77777777" w:rsidR="00191ABC" w:rsidRDefault="00191ABC" w:rsidP="00C736C1">
      <w:pPr>
        <w:spacing w:line="276" w:lineRule="auto"/>
        <w:jc w:val="both"/>
        <w:rPr>
          <w:rFonts w:ascii="Times New Roman" w:hAnsi="Times New Roman" w:cs="Times New Roman"/>
          <w:b/>
          <w:bCs/>
          <w:sz w:val="28"/>
          <w:szCs w:val="28"/>
        </w:rPr>
      </w:pPr>
    </w:p>
    <w:p w14:paraId="7DB7E953" w14:textId="77777777" w:rsidR="00191ABC" w:rsidRDefault="00191ABC" w:rsidP="00C736C1">
      <w:pPr>
        <w:spacing w:line="276" w:lineRule="auto"/>
        <w:jc w:val="both"/>
        <w:rPr>
          <w:rFonts w:ascii="Times New Roman" w:hAnsi="Times New Roman" w:cs="Times New Roman"/>
          <w:b/>
          <w:bCs/>
          <w:sz w:val="28"/>
          <w:szCs w:val="28"/>
        </w:rPr>
      </w:pPr>
    </w:p>
    <w:p w14:paraId="3BD7641A" w14:textId="69B27178" w:rsidR="00DC4724" w:rsidRPr="00E522FE" w:rsidRDefault="00DC4724"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lastRenderedPageBreak/>
        <w:t>1.Introductio</w:t>
      </w:r>
      <w:r w:rsidR="00A42386" w:rsidRPr="00E522FE">
        <w:rPr>
          <w:rFonts w:ascii="Times New Roman" w:hAnsi="Times New Roman" w:cs="Times New Roman"/>
          <w:b/>
          <w:bCs/>
          <w:sz w:val="28"/>
          <w:szCs w:val="28"/>
        </w:rPr>
        <w:t>n</w:t>
      </w:r>
    </w:p>
    <w:p w14:paraId="2C412CEB" w14:textId="6E6F717C"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Financial inclusion has come to be a key catalyst of inclusive development that supports rural India, more so for women who, historically, have been excluded from formal financial services. In the rural and tribal state of Jharkhand, digitalization of banking activities since 2018 has introduced increased access to finance for hitherto marginalized groups (Agarwal &amp; Ghosh, 2020). The deepening penetration of digital financial services like mobile banking, e-wallets, and government-to-person (G2P) transfers has opened doors for economic engagement, particularly for rural women (Barboza &amp; Leong, 2021).</w:t>
      </w:r>
    </w:p>
    <w:p w14:paraId="5B650C16" w14:textId="1AFBC711"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But critics suggest that fintech cannot be viewed as a panacea for poverty reduction unless accompanied by institutional reforms and contextual sensitivity (Bateman et al., 2019). For digital banking to be truly transformative, it needs to be local, inclusive, accessible, and in consonance with local socio-economic realities (Battilana &amp; Casciaro, 2021). The rural hinterlands of Jharkhand, like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offer a special case in which digital banking has made it possible for female members of Self-Help Groups (SHGs) to engage with financial markets with the help of institutional facilitation and state-sponsored schemes (Bhattacharya &amp; Sahoo, 2022).</w:t>
      </w:r>
    </w:p>
    <w:p w14:paraId="5478333F" w14:textId="3CDE9AA4"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Digital banking initiatives in these countries have enhanced access to credit and entrepreneurial opportunities for women by connecting SHGs with formal financial institutions (Chien &amp; Wei, 2020). National Rural Livelihood Mission (NRLM) programs like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Ashirwad Yojna and Didi Badi Yojna extended further support to these programs by encouraging female-headed microenterprises (Das &amp; Pradhan, 2021). These local models are consistent with international evidence that connects access to financial services with better household well-being and women's empowerment (</w:t>
      </w:r>
      <w:proofErr w:type="spellStart"/>
      <w:r w:rsidRPr="00E522FE">
        <w:rPr>
          <w:rFonts w:ascii="Times New Roman" w:hAnsi="Times New Roman" w:cs="Times New Roman"/>
          <w:sz w:val="24"/>
          <w:szCs w:val="24"/>
        </w:rPr>
        <w:t>Demirgüç</w:t>
      </w:r>
      <w:proofErr w:type="spellEnd"/>
      <w:r w:rsidRPr="00E522FE">
        <w:rPr>
          <w:rFonts w:ascii="Times New Roman" w:hAnsi="Times New Roman" w:cs="Times New Roman"/>
          <w:sz w:val="24"/>
          <w:szCs w:val="24"/>
        </w:rPr>
        <w:t>-Kunt et al., 2020).</w:t>
      </w:r>
    </w:p>
    <w:p w14:paraId="6362CAFD" w14:textId="34E2F913"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 meta-review that is more comprehensive supports that digital financial inclusion programs realize significant returns only when they overlap with agent networks, financial literacy, and mobile telephony (Duvendack &amp; Mader, 2020). Further, India-based micro-level research indicates gender-responsive digital models like BC Sakhi (women banking correspondents) not only enable transactions but also reshape gender norms and community values (Duvendack, Sonne, &amp; </w:t>
      </w:r>
      <w:proofErr w:type="spellStart"/>
      <w:r w:rsidRPr="00E522FE">
        <w:rPr>
          <w:rFonts w:ascii="Times New Roman" w:hAnsi="Times New Roman" w:cs="Times New Roman"/>
          <w:sz w:val="24"/>
          <w:szCs w:val="24"/>
        </w:rPr>
        <w:t>Garikipati</w:t>
      </w:r>
      <w:proofErr w:type="spellEnd"/>
      <w:r w:rsidRPr="00E522FE">
        <w:rPr>
          <w:rFonts w:ascii="Times New Roman" w:hAnsi="Times New Roman" w:cs="Times New Roman"/>
          <w:sz w:val="24"/>
          <w:szCs w:val="24"/>
        </w:rPr>
        <w:t>, 2023).</w:t>
      </w:r>
    </w:p>
    <w:p w14:paraId="26CDDA66" w14:textId="05130EF6" w:rsidR="007E2F1C" w:rsidRPr="00E522FE" w:rsidRDefault="004A21E4"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F</w:t>
      </w:r>
      <w:r w:rsidR="007E2F1C" w:rsidRPr="00E522FE">
        <w:rPr>
          <w:rFonts w:ascii="Times New Roman" w:hAnsi="Times New Roman" w:cs="Times New Roman"/>
          <w:sz w:val="24"/>
          <w:szCs w:val="24"/>
        </w:rPr>
        <w:t xml:space="preserve">ield survey </w:t>
      </w:r>
      <w:r w:rsidRPr="00E522FE">
        <w:rPr>
          <w:rFonts w:ascii="Times New Roman" w:hAnsi="Times New Roman" w:cs="Times New Roman"/>
          <w:sz w:val="24"/>
          <w:szCs w:val="24"/>
        </w:rPr>
        <w:t xml:space="preserve">had been taken </w:t>
      </w:r>
      <w:r w:rsidR="007E2F1C" w:rsidRPr="00E522FE">
        <w:rPr>
          <w:rFonts w:ascii="Times New Roman" w:hAnsi="Times New Roman" w:cs="Times New Roman"/>
          <w:sz w:val="24"/>
          <w:szCs w:val="24"/>
        </w:rPr>
        <w:t xml:space="preserve">in </w:t>
      </w:r>
      <w:proofErr w:type="spellStart"/>
      <w:r w:rsidR="007E2F1C" w:rsidRPr="00E522FE">
        <w:rPr>
          <w:rFonts w:ascii="Times New Roman" w:hAnsi="Times New Roman" w:cs="Times New Roman"/>
          <w:sz w:val="24"/>
          <w:szCs w:val="24"/>
        </w:rPr>
        <w:t>Simdega</w:t>
      </w:r>
      <w:proofErr w:type="spellEnd"/>
      <w:r w:rsidR="007E2F1C" w:rsidRPr="00E522FE">
        <w:rPr>
          <w:rFonts w:ascii="Times New Roman" w:hAnsi="Times New Roman" w:cs="Times New Roman"/>
          <w:sz w:val="24"/>
          <w:szCs w:val="24"/>
        </w:rPr>
        <w:t xml:space="preserve"> district upholds these scholarly results, where post-2018 programs have brought appreciable improvements in rural women's involvement in credit-linked businesses and digital payments. Women members of SHGs have moved to become digital facilitators, agents, and entrepreneurs, and thus augmented household earnings and social capital (Ghosh &amp; Mukherjee, 2021). Empirical evidence from the National Rural Livelihoods Project in India also substantiates that access to finance enhances women's decision-making authority in households (Kochar et al., 2022). However, there are still challenges like technological illiteracy, network unavailability, and low product diversification (Kumar &amp; Mishra, 2020). As such, awareness generation and handholding assistance continue to be key drivers of inclusion success (Kumar &amp; Pathak, 2022).</w:t>
      </w:r>
    </w:p>
    <w:p w14:paraId="4240404A" w14:textId="1A719B28"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Focused measures such as mobile banking literacy and doorstep banking services have indicated potential for closing the gender gap in access to finance (Lee, Morduch, Ravindran, &amp; </w:t>
      </w:r>
      <w:proofErr w:type="spellStart"/>
      <w:r w:rsidRPr="00E522FE">
        <w:rPr>
          <w:rFonts w:ascii="Times New Roman" w:hAnsi="Times New Roman" w:cs="Times New Roman"/>
          <w:sz w:val="24"/>
          <w:szCs w:val="24"/>
        </w:rPr>
        <w:t>Shonchoy</w:t>
      </w:r>
      <w:proofErr w:type="spellEnd"/>
      <w:r w:rsidRPr="00E522FE">
        <w:rPr>
          <w:rFonts w:ascii="Times New Roman" w:hAnsi="Times New Roman" w:cs="Times New Roman"/>
          <w:sz w:val="24"/>
          <w:szCs w:val="24"/>
        </w:rPr>
        <w:t>, 2021). Also supporting these trends are rural case studies from China and Africa, which show that fintech uptake is best when supported by trust, cultural consonance, and institutional stability (Li &amp; Zhang, 2019); (Martin &amp; Shaw, 2021).</w:t>
      </w:r>
    </w:p>
    <w:p w14:paraId="77667DC3" w14:textId="77777777" w:rsidR="00666AC8"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Jharkhand's digital banking environment, driven by BC Sakhi networks and SHG federations, has enabled rural women to become economically independent, which has lessened informal lender dependency (Mittal &amp; Pandey, 2022); (Nair &amp; Gopalakrishnan, 2020). These local agents have helped mobilize government entitlements and encourage insurance, pensions, and credit linkages (Pinto &amp; Arora, 2021).</w:t>
      </w:r>
      <w:r w:rsidR="00666AC8" w:rsidRPr="00E522FE">
        <w:rPr>
          <w:rFonts w:ascii="Times New Roman" w:hAnsi="Times New Roman" w:cs="Times New Roman"/>
          <w:sz w:val="24"/>
          <w:szCs w:val="24"/>
        </w:rPr>
        <w:t xml:space="preserve"> </w:t>
      </w:r>
      <w:r w:rsidRPr="00E522FE">
        <w:rPr>
          <w:rFonts w:ascii="Times New Roman" w:hAnsi="Times New Roman" w:cs="Times New Roman"/>
          <w:sz w:val="24"/>
          <w:szCs w:val="24"/>
        </w:rPr>
        <w:t xml:space="preserve">In spite of triumphs, digital inclusion is constrained by infrastructural deficits, irregularities in policy implementation, and opposition from society, especially in tribal tracts (Shankar &amp; Gupta, 2021). </w:t>
      </w:r>
    </w:p>
    <w:p w14:paraId="48C3F822" w14:textId="31F39DEC" w:rsidR="007E2F1C" w:rsidRPr="00E522FE" w:rsidRDefault="007E2F1C"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However, if digital inclusion is backed by literacy and public participation, it has quantifiable development returns (Sharma &amp; Bansal, 2021); (Soni &amp; Sharma, 2020). This paper examines the effects of post-2018 digital financial inclusion efforts in Jharkhand's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based on original data from SHGs and institutional documents. Based on an analysis of credit access, digital literacy, and economic agency, this paper seeks to provide policy evidence for replicable models of rural women's empowerment (Swain &amp; Kumar, 2022); (Vishwakarma &amp; Ghosh, 2020). The wider significance is the way that digital finance systems can promote inclusive and sustainable rural development (Yadav &amp; Verma, 2021</w:t>
      </w:r>
      <w:r w:rsidR="00666AC8" w:rsidRPr="00E522FE">
        <w:rPr>
          <w:rFonts w:ascii="Times New Roman" w:hAnsi="Times New Roman" w:cs="Times New Roman"/>
          <w:sz w:val="24"/>
          <w:szCs w:val="24"/>
        </w:rPr>
        <w:t>)</w:t>
      </w:r>
      <w:r w:rsidRPr="00E522FE">
        <w:rPr>
          <w:rFonts w:ascii="Times New Roman" w:hAnsi="Times New Roman" w:cs="Times New Roman"/>
          <w:sz w:val="24"/>
          <w:szCs w:val="24"/>
        </w:rPr>
        <w:t>.</w:t>
      </w:r>
    </w:p>
    <w:p w14:paraId="719B63E6" w14:textId="22334125"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study</w:t>
      </w:r>
      <w:r w:rsidR="004A21E4" w:rsidRPr="00E522FE">
        <w:rPr>
          <w:rFonts w:ascii="Times New Roman" w:hAnsi="Times New Roman" w:cs="Times New Roman"/>
          <w:sz w:val="24"/>
          <w:szCs w:val="24"/>
        </w:rPr>
        <w:t xml:space="preserve"> conducted </w:t>
      </w:r>
      <w:r w:rsidRPr="00E522FE">
        <w:rPr>
          <w:rFonts w:ascii="Times New Roman" w:hAnsi="Times New Roman" w:cs="Times New Roman"/>
          <w:sz w:val="24"/>
          <w:szCs w:val="24"/>
        </w:rPr>
        <w:t xml:space="preserve">in the tribal blocks of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Jharkhand, investigates the progress of financial inclusion among rural women since 2018 through initiatives such as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Ashirwad Yojna, Didi Badi Yojna, SVEP, and the BC Sakhi model. It explores how </w:t>
      </w:r>
      <w:proofErr w:type="gramStart"/>
      <w:r w:rsidRPr="00E522FE">
        <w:rPr>
          <w:rFonts w:ascii="Times New Roman" w:hAnsi="Times New Roman" w:cs="Times New Roman"/>
          <w:sz w:val="24"/>
          <w:szCs w:val="24"/>
        </w:rPr>
        <w:t>Self Help</w:t>
      </w:r>
      <w:proofErr w:type="gramEnd"/>
      <w:r w:rsidRPr="00E522FE">
        <w:rPr>
          <w:rFonts w:ascii="Times New Roman" w:hAnsi="Times New Roman" w:cs="Times New Roman"/>
          <w:sz w:val="24"/>
          <w:szCs w:val="24"/>
        </w:rPr>
        <w:t xml:space="preserve"> Groups (SHGs), digital tools, and livelihood training have enabled women to transition from informal to formal economic roles, fostering entrepreneurship, savings, and credit-based development. The study provides ground-level insights into the transformative impact of integrating digital financial services with institutional support, revealing improvements in income, decision-making, and social mobility. It also identifies persistent challenges, including infrastructural gaps and digital illiteracy, while offering policy-relevant recommendations for replicating and scaling inclusive financial models in similar rural and tribal settings.</w:t>
      </w:r>
    </w:p>
    <w:p w14:paraId="5D6A3CA6" w14:textId="3D91FD61" w:rsidR="00C736C1" w:rsidRPr="00E522FE" w:rsidRDefault="00C736C1"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2. Methodology</w:t>
      </w:r>
    </w:p>
    <w:p w14:paraId="4FA5A098" w14:textId="469A8F88"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This research adopts a mixed-method research design that merges quantitative and qualitative methods to study the effect of financial inclusion initiatives among rural women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Jharkhand. The research is based on primary data </w:t>
      </w:r>
      <w:r w:rsidR="004A21E4" w:rsidRPr="00E522FE">
        <w:rPr>
          <w:rFonts w:ascii="Times New Roman" w:hAnsi="Times New Roman" w:cs="Times New Roman"/>
          <w:sz w:val="24"/>
          <w:szCs w:val="24"/>
        </w:rPr>
        <w:t xml:space="preserve">collection </w:t>
      </w:r>
      <w:r w:rsidRPr="00E522FE">
        <w:rPr>
          <w:rFonts w:ascii="Times New Roman" w:hAnsi="Times New Roman" w:cs="Times New Roman"/>
          <w:sz w:val="24"/>
          <w:szCs w:val="24"/>
        </w:rPr>
        <w:t xml:space="preserve">among women participating in Self Help Groups (SHGs) assisted by initiatives like </w:t>
      </w:r>
      <w:proofErr w:type="spellStart"/>
      <w:r w:rsidRPr="00E522FE">
        <w:rPr>
          <w:rFonts w:ascii="Times New Roman" w:hAnsi="Times New Roman" w:cs="Times New Roman"/>
          <w:sz w:val="24"/>
          <w:szCs w:val="24"/>
        </w:rPr>
        <w:t>Phulo</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Jhano</w:t>
      </w:r>
      <w:proofErr w:type="spellEnd"/>
      <w:r w:rsidRPr="00E522FE">
        <w:rPr>
          <w:rFonts w:ascii="Times New Roman" w:hAnsi="Times New Roman" w:cs="Times New Roman"/>
          <w:sz w:val="24"/>
          <w:szCs w:val="24"/>
        </w:rPr>
        <w:t xml:space="preserve"> Ashirwad Yojna, SVEP, Didi Badi Yojna, and the BC Sakhi program. The research design includes strict data collection from field surveys, guided interviews, and focus group discussions (FGDs), along with a detailed analytical framework to assess socio-economic and digital changes.</w:t>
      </w:r>
    </w:p>
    <w:p w14:paraId="70873453" w14:textId="6687F3A9"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2.1 Study Design and Area</w:t>
      </w:r>
    </w:p>
    <w:p w14:paraId="0DEF59E7" w14:textId="77777777"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The research was carried out in four tribal blocks in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w:t>
      </w:r>
      <w:proofErr w:type="spellStart"/>
      <w:r w:rsidRPr="00E522FE">
        <w:rPr>
          <w:rFonts w:ascii="Times New Roman" w:hAnsi="Times New Roman" w:cs="Times New Roman"/>
          <w:sz w:val="24"/>
          <w:szCs w:val="24"/>
        </w:rPr>
        <w:t>Kolebira</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Kurdeg</w:t>
      </w:r>
      <w:proofErr w:type="spellEnd"/>
      <w:r w:rsidRPr="00E522FE">
        <w:rPr>
          <w:rFonts w:ascii="Times New Roman" w:hAnsi="Times New Roman" w:cs="Times New Roman"/>
          <w:sz w:val="24"/>
          <w:szCs w:val="24"/>
        </w:rPr>
        <w:t xml:space="preserve">, </w:t>
      </w:r>
      <w:proofErr w:type="spellStart"/>
      <w:r w:rsidRPr="00E522FE">
        <w:rPr>
          <w:rFonts w:ascii="Times New Roman" w:hAnsi="Times New Roman" w:cs="Times New Roman"/>
          <w:sz w:val="24"/>
          <w:szCs w:val="24"/>
        </w:rPr>
        <w:t>Thetaitangar</w:t>
      </w:r>
      <w:proofErr w:type="spellEnd"/>
      <w:r w:rsidRPr="00E522FE">
        <w:rPr>
          <w:rFonts w:ascii="Times New Roman" w:hAnsi="Times New Roman" w:cs="Times New Roman"/>
          <w:sz w:val="24"/>
          <w:szCs w:val="24"/>
        </w:rPr>
        <w:t xml:space="preserve">, and Sadar—selected for high SHG activity under JSLPS and JTDS. Purposive sampling technique was used to cover 150 women SHG members engaged in farm and non-farm livelihood activities. The study follows cross-sectional research design taking a snapshot of participant financial </w:t>
      </w:r>
      <w:proofErr w:type="spellStart"/>
      <w:r w:rsidRPr="00E522FE">
        <w:rPr>
          <w:rFonts w:ascii="Times New Roman" w:hAnsi="Times New Roman" w:cs="Times New Roman"/>
          <w:sz w:val="24"/>
          <w:szCs w:val="24"/>
        </w:rPr>
        <w:t>behavior</w:t>
      </w:r>
      <w:proofErr w:type="spellEnd"/>
      <w:r w:rsidRPr="00E522FE">
        <w:rPr>
          <w:rFonts w:ascii="Times New Roman" w:hAnsi="Times New Roman" w:cs="Times New Roman"/>
          <w:sz w:val="24"/>
          <w:szCs w:val="24"/>
        </w:rPr>
        <w:t>, digital activity, and enterprise development as impacted by state-driven financial inclusion programs.</w:t>
      </w:r>
    </w:p>
    <w:p w14:paraId="6AEA0FB2" w14:textId="296D66B9"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 xml:space="preserve">2.2 Data Collection </w:t>
      </w:r>
    </w:p>
    <w:p w14:paraId="6985B4BE" w14:textId="6BAEA1F9" w:rsidR="00DC4724"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Primary data were gathered using standardized questionnaires filled in by 150 SHG women, including demographic information, sources of income, digital literacy, access to credit, and diversification of livelihoods. FGDs with SHG groups were conducted to investigate group-level dynamics, empowerment, and digital adoption impediments. Field observations were also carried out to confirm the working status of income-generating activities like tailoring units, mushroom clusters, goat rearing units, and BC Sakhi kiosks. Secondary sources such as SHG registers, accounting records, and computerised transaction records were analysed to ascertain data consistency.</w:t>
      </w:r>
    </w:p>
    <w:p w14:paraId="5CD4B268" w14:textId="4EE95387" w:rsidR="00C736C1" w:rsidRPr="00E522FE" w:rsidRDefault="00C736C1" w:rsidP="00C736C1">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2.3 Exclusion and Inclusion Criteria</w:t>
      </w:r>
    </w:p>
    <w:p w14:paraId="66CD1B1E" w14:textId="77777777" w:rsidR="00C736C1" w:rsidRPr="00E522FE" w:rsidRDefault="00C736C1"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The study considered only women having active participation in SHGs and direct benefits from government-aligned financial inclusion schemes. The inclusion criteria were that respondents should be female, 18–60 years old, SHG members for the past two years, and residents of the block for the past five years. The exclusion criteria excluded those who lacked active participation in SHGs, recent migrants, and people with health, literacy, or consent-related issues.</w:t>
      </w:r>
    </w:p>
    <w:p w14:paraId="5B33EADE" w14:textId="0892FC14" w:rsidR="00E3000D" w:rsidRPr="00E522FE" w:rsidRDefault="00E3000D" w:rsidP="00E3000D">
      <w:pPr>
        <w:spacing w:line="276" w:lineRule="auto"/>
        <w:jc w:val="both"/>
        <w:rPr>
          <w:rFonts w:ascii="Times New Roman" w:hAnsi="Times New Roman" w:cs="Times New Roman"/>
          <w:sz w:val="24"/>
          <w:szCs w:val="24"/>
          <w:lang w:val="en-US"/>
        </w:rPr>
      </w:pPr>
      <w:bookmarkStart w:id="0" w:name="X50bd03ff6c48a38b990ad500d5aba9369396649"/>
      <w:r w:rsidRPr="00E522FE">
        <w:rPr>
          <w:rFonts w:ascii="Times New Roman" w:hAnsi="Times New Roman" w:cs="Times New Roman"/>
          <w:b/>
          <w:bCs/>
          <w:sz w:val="24"/>
          <w:szCs w:val="24"/>
          <w:lang w:val="en-US"/>
        </w:rPr>
        <w:t>2.4 Analytical Tools and Statistical Framework</w:t>
      </w:r>
    </w:p>
    <w:p w14:paraId="71C63B29" w14:textId="14F268C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derive meaningful insights from the field-level data, the study utilized a combination of descriptive statistics, correlational analysis, qualitative thematic analysis, and a SWOT-based strategic framework. These tools enabled the triangulation of numeric and narrative findings, ensuring robust evaluation of the financial transformation and digital engagement of SHG women beneficiaries in </w:t>
      </w:r>
      <w:proofErr w:type="spellStart"/>
      <w:r w:rsidRPr="00E522FE">
        <w:rPr>
          <w:rFonts w:ascii="Times New Roman" w:hAnsi="Times New Roman" w:cs="Times New Roman"/>
          <w:sz w:val="24"/>
          <w:szCs w:val="24"/>
          <w:lang w:val="en-US"/>
        </w:rPr>
        <w:t>Simdega</w:t>
      </w:r>
      <w:proofErr w:type="spellEnd"/>
      <w:r w:rsidRPr="00E522FE">
        <w:rPr>
          <w:rFonts w:ascii="Times New Roman" w:hAnsi="Times New Roman" w:cs="Times New Roman"/>
          <w:sz w:val="24"/>
          <w:szCs w:val="24"/>
          <w:lang w:val="en-US"/>
        </w:rPr>
        <w:t>.</w:t>
      </w:r>
    </w:p>
    <w:p w14:paraId="5CD87F0A" w14:textId="05ABE87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b/>
          <w:bCs/>
          <w:sz w:val="24"/>
          <w:szCs w:val="24"/>
          <w:lang w:val="en-US"/>
        </w:rPr>
        <w:t>2.4.1 Descriptive Statistics</w:t>
      </w:r>
    </w:p>
    <w:p w14:paraId="2C6367DA"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Descriptive statistical tools were applied to quantify socio-economic variables such as average household size, income levels, credit uptake, educational attainment, and asset ownership. The mean and standard deviation were used to represent the central tendency and variability in the dataset, computed as in Eq.1 &amp; 2, </w:t>
      </w:r>
    </w:p>
    <w:p w14:paraId="30779265" w14:textId="7970D6FE" w:rsidR="00E3000D" w:rsidRPr="00E522FE" w:rsidRDefault="00E3000D" w:rsidP="00E3000D">
      <w:pPr>
        <w:spacing w:line="276" w:lineRule="auto"/>
        <w:jc w:val="center"/>
        <w:rPr>
          <w:rFonts w:ascii="Times New Roman" w:hAnsi="Times New Roman" w:cs="Times New Roman"/>
          <w:sz w:val="24"/>
          <w:szCs w:val="24"/>
          <w:lang w:val="en-US"/>
        </w:rPr>
      </w:pPr>
      <w:r w:rsidRPr="00E522FE">
        <w:rPr>
          <w:rFonts w:ascii="Times New Roman" w:eastAsiaTheme="minorEastAsia" w:hAnsi="Times New Roman" w:cs="Times New Roman"/>
          <w:sz w:val="24"/>
          <w:szCs w:val="24"/>
          <w:lang w:val="en-US"/>
        </w:rPr>
        <w:t xml:space="preserve">                                                               </w:t>
      </w:r>
      <m:oMath>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e>
        </m:nary>
      </m:oMath>
      <w:r w:rsidRPr="00E522FE">
        <w:rPr>
          <w:rFonts w:ascii="Times New Roman" w:eastAsiaTheme="minorEastAsia" w:hAnsi="Times New Roman" w:cs="Times New Roman"/>
          <w:sz w:val="24"/>
          <w:szCs w:val="24"/>
          <w:lang w:val="en-US"/>
        </w:rPr>
        <w:t xml:space="preserve">                                                                    (1)</w:t>
      </w:r>
    </w:p>
    <w:p w14:paraId="1199CDF9" w14:textId="6DA821C0" w:rsidR="00E3000D" w:rsidRPr="00E522FE" w:rsidRDefault="00E3000D" w:rsidP="00E3000D">
      <w:pPr>
        <w:spacing w:line="276" w:lineRule="auto"/>
        <w:jc w:val="center"/>
        <w:rPr>
          <w:rFonts w:ascii="Times New Roman" w:hAnsi="Times New Roman" w:cs="Times New Roman"/>
          <w:sz w:val="24"/>
          <w:szCs w:val="24"/>
          <w:lang w:val="en-US"/>
        </w:rPr>
      </w:pPr>
      <w:r w:rsidRPr="00E522FE">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σ</m:t>
        </m:r>
        <m:r>
          <m:rPr>
            <m:sty m:val="p"/>
          </m:rPr>
          <w:rPr>
            <w:rFonts w:ascii="Cambria Math" w:hAnsi="Cambria Math" w:cs="Times New Roman"/>
            <w:sz w:val="24"/>
            <w:szCs w:val="24"/>
            <w:lang w:val="en-US"/>
          </w:rPr>
          <m:t>=</m:t>
        </m:r>
        <m:rad>
          <m:radPr>
            <m:degHide m:val="1"/>
            <m:ctrlPr>
              <w:rPr>
                <w:rFonts w:ascii="Cambria Math" w:hAnsi="Cambria Math" w:cs="Times New Roman"/>
                <w:sz w:val="24"/>
                <w:szCs w:val="24"/>
                <w:lang w:val="en-US"/>
              </w:rPr>
            </m:ctrlPr>
          </m:radPr>
          <m:deg/>
          <m:e>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r>
                  <m:rPr>
                    <m:sty m:val="p"/>
                  </m:rPr>
                  <w:rPr>
                    <w:rFonts w:ascii="Cambria Math" w:hAnsi="Cambria Math" w:cs="Times New Roman"/>
                    <w:sz w:val="24"/>
                    <w:szCs w:val="24"/>
                    <w:lang w:val="en-US"/>
                  </w:rPr>
                  <m:t>-</m:t>
                </m:r>
                <m:r>
                  <w:rPr>
                    <w:rFonts w:ascii="Cambria Math" w:hAnsi="Cambria Math" w:cs="Times New Roman"/>
                    <w:sz w:val="24"/>
                    <w:szCs w:val="24"/>
                    <w:lang w:val="en-US"/>
                  </w:rPr>
                  <m:t>1</m:t>
                </m:r>
              </m:den>
            </m:f>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e>
            </m:nary>
          </m:e>
        </m:rad>
      </m:oMath>
      <w:r w:rsidRPr="00E522FE">
        <w:rPr>
          <w:rFonts w:ascii="Times New Roman" w:hAnsi="Times New Roman" w:cs="Times New Roman"/>
          <w:sz w:val="24"/>
          <w:szCs w:val="24"/>
          <w:lang w:val="en-US"/>
        </w:rPr>
        <w:t xml:space="preserve"> ​                                                  </w:t>
      </w:r>
      <w:proofErr w:type="gramStart"/>
      <w:r w:rsidRPr="00E522FE">
        <w:rPr>
          <w:rFonts w:ascii="Times New Roman" w:hAnsi="Times New Roman" w:cs="Times New Roman"/>
          <w:sz w:val="24"/>
          <w:szCs w:val="24"/>
          <w:lang w:val="en-US"/>
        </w:rPr>
        <w:t xml:space="preserve">   (</w:t>
      </w:r>
      <w:proofErr w:type="gramEnd"/>
      <w:r w:rsidRPr="00E522FE">
        <w:rPr>
          <w:rFonts w:ascii="Times New Roman" w:hAnsi="Times New Roman" w:cs="Times New Roman"/>
          <w:sz w:val="24"/>
          <w:szCs w:val="24"/>
          <w:lang w:val="en-US"/>
        </w:rPr>
        <w:t>2)</w:t>
      </w:r>
    </w:p>
    <w:p w14:paraId="7BD9A29D" w14:textId="241B1B5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lastRenderedPageBreak/>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xml:space="preserve"> represents the individual observation (e.g., income), xˉ is the sample mean, σ is the standard deviation and n is the total sample size. Through these metrics, the study captured the variations in income and digital access across different blocks. Categorical data such as type of enterprise, banking tool usage, and training participation were summarized using frequency distributions and percentage breakdowns via SPSS v21 and Microsoft Excel.</w:t>
      </w:r>
    </w:p>
    <w:p w14:paraId="67405758" w14:textId="385C5999" w:rsidR="00E3000D" w:rsidRPr="00E522FE" w:rsidRDefault="00E3000D" w:rsidP="00E3000D">
      <w:pPr>
        <w:spacing w:line="276" w:lineRule="auto"/>
        <w:jc w:val="both"/>
        <w:rPr>
          <w:rFonts w:ascii="Times New Roman" w:hAnsi="Times New Roman" w:cs="Times New Roman"/>
          <w:sz w:val="24"/>
          <w:szCs w:val="24"/>
          <w:lang w:val="en-US"/>
        </w:rPr>
      </w:pPr>
      <w:bookmarkStart w:id="1" w:name="descriptive-statistics"/>
      <w:bookmarkEnd w:id="1"/>
      <w:r w:rsidRPr="00E522FE">
        <w:rPr>
          <w:rFonts w:ascii="Times New Roman" w:hAnsi="Times New Roman" w:cs="Times New Roman"/>
          <w:b/>
          <w:bCs/>
          <w:sz w:val="24"/>
          <w:szCs w:val="24"/>
          <w:lang w:val="en-US"/>
        </w:rPr>
        <w:t>2.4.2 Cross-tabulation and Correlation</w:t>
      </w:r>
    </w:p>
    <w:p w14:paraId="50D224B1" w14:textId="1DFAC425"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explore relationships among key variables such as training exposure and digital service adoption or loan size and income growth cross-tabulation was performed. This allowed bivariate comparisons of variable distributions across different respondent segments. Furthermore, Pearson’s correlation coefficient was computed to quantify the linear association between continuous variables, using Eq.3, </w:t>
      </w:r>
    </w:p>
    <w:p w14:paraId="6C8AA280" w14:textId="50431F6A" w:rsidR="00E3000D" w:rsidRPr="00E522FE" w:rsidRDefault="00E3000D" w:rsidP="00E3000D">
      <w:pPr>
        <w:spacing w:line="276" w:lineRule="auto"/>
        <w:jc w:val="center"/>
        <w:rPr>
          <w:sz w:val="24"/>
          <w:szCs w:val="24"/>
          <w:lang w:val="en-US"/>
        </w:rPr>
      </w:pPr>
      <w:r w:rsidRPr="00E522FE">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r</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y</m:t>
                    </m:r>
                  </m:e>
                  <m:lim>
                    <m:r>
                      <w:rPr>
                        <w:rFonts w:ascii="Cambria Math" w:hAnsi="Cambria Math" w:cs="Times New Roman"/>
                        <w:sz w:val="24"/>
                        <w:szCs w:val="24"/>
                        <w:lang w:val="en-US"/>
                      </w:rPr>
                      <m:t>ˉ</m:t>
                    </m:r>
                  </m:lim>
                </m:limUpp>
              </m:e>
            </m:d>
          </m:num>
          <m:den>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x</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m:rPr>
                            <m:sty m:val="p"/>
                          </m:rPr>
                          <w:rPr>
                            <w:rFonts w:ascii="Cambria Math" w:hAnsi="Cambria Math" w:cs="Times New Roman"/>
                            <w:sz w:val="24"/>
                            <w:szCs w:val="24"/>
                            <w:lang w:val="en-US"/>
                          </w:rPr>
                          <m:t>-</m:t>
                        </m:r>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y</m:t>
                            </m:r>
                          </m:e>
                          <m:lim>
                            <m:r>
                              <w:rPr>
                                <w:rFonts w:ascii="Cambria Math" w:hAnsi="Cambria Math" w:cs="Times New Roman"/>
                                <w:sz w:val="24"/>
                                <w:szCs w:val="24"/>
                                <w:lang w:val="en-US"/>
                              </w:rPr>
                              <m:t>ˉ</m:t>
                            </m:r>
                          </m:lim>
                        </m:limUpp>
                      </m:e>
                    </m:d>
                  </m:e>
                  <m:sup>
                    <m:r>
                      <w:rPr>
                        <w:rFonts w:ascii="Cambria Math" w:hAnsi="Cambria Math" w:cs="Times New Roman"/>
                        <w:sz w:val="24"/>
                        <w:szCs w:val="24"/>
                        <w:lang w:val="en-US"/>
                      </w:rPr>
                      <m:t>2</m:t>
                    </m:r>
                  </m:sup>
                </m:sSup>
              </m:e>
            </m:rad>
          </m:den>
        </m:f>
      </m:oMath>
      <w:r w:rsidRPr="00E522FE">
        <w:rPr>
          <w:sz w:val="24"/>
          <w:szCs w:val="24"/>
        </w:rPr>
        <w:t xml:space="preserve">                                                               (3)</w:t>
      </w:r>
    </w:p>
    <w:p w14:paraId="028245BA" w14:textId="0F91FDAF"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oMath>
      <w:r w:rsidRPr="00E522FE">
        <w:rPr>
          <w:rFonts w:ascii="Times New Roman" w:hAnsi="Times New Roman" w:cs="Times New Roman"/>
          <w:sz w:val="24"/>
          <w:szCs w:val="24"/>
          <w:lang w:val="en-US"/>
        </w:rPr>
        <w:t>​ are paired values (e.g., income before and after SHG), x, yˉ​ are their respective means. Correlation values close to ±1 indicated strong associations, reinforcing the hypothesis that increased financial training and SHG engagement positively impact income and digital finance behavior.</w:t>
      </w:r>
    </w:p>
    <w:p w14:paraId="5AB990B7" w14:textId="740B96B4" w:rsidR="00E3000D" w:rsidRPr="00E522FE" w:rsidRDefault="00084B66" w:rsidP="00E3000D">
      <w:pPr>
        <w:spacing w:line="276" w:lineRule="auto"/>
        <w:jc w:val="both"/>
        <w:rPr>
          <w:rFonts w:ascii="Times New Roman" w:hAnsi="Times New Roman" w:cs="Times New Roman"/>
          <w:sz w:val="24"/>
          <w:szCs w:val="24"/>
          <w:lang w:val="en-US"/>
        </w:rPr>
      </w:pPr>
      <w:bookmarkStart w:id="2" w:name="cross-tabulation-and-correlation"/>
      <w:bookmarkEnd w:id="2"/>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.4.3 Thematic Analysis (Qualitative)</w:t>
      </w:r>
    </w:p>
    <w:p w14:paraId="1BF1AA66"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To extract qualitative insights, responses from FGDs and open-ended interviews were subjected to manual thematic coding using the constant comparison method. Thematic categories included “financial confidence,” “digital transaction trust,” “livelihood shift,” and “credit access barriers.” These were plotted in Excel matrices for comparison across blocks and activity types. This analysis revealed how women's behavioral transformation and financial literacy advanced beyond measurable income indicators—such as self-initiated use of UPI apps or teaching digital tools to others.</w:t>
      </w:r>
    </w:p>
    <w:p w14:paraId="2122C8CC" w14:textId="7AD7E696" w:rsidR="00E3000D" w:rsidRPr="00E522FE" w:rsidRDefault="00084B66" w:rsidP="00E3000D">
      <w:pPr>
        <w:spacing w:line="276" w:lineRule="auto"/>
        <w:jc w:val="both"/>
        <w:rPr>
          <w:rFonts w:ascii="Times New Roman" w:hAnsi="Times New Roman" w:cs="Times New Roman"/>
          <w:sz w:val="24"/>
          <w:szCs w:val="24"/>
          <w:lang w:val="en-US"/>
        </w:rPr>
      </w:pPr>
      <w:bookmarkStart w:id="3" w:name="thematic-analysis-qualitative"/>
      <w:bookmarkEnd w:id="3"/>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.4.4 SWOT Framework</w:t>
      </w:r>
    </w:p>
    <w:p w14:paraId="4E7E075C" w14:textId="77777777"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A qualitative SWOT analysis was conducted to evaluate the internal and external conditions shaping SHG sustainability and digital finance integration. Based on community narratives and institutional consultations, key strengths included peer trust, collective finance, and loan cycles. Weaknesses stemmed from low tech familiarity and limited market access. Opportunities included income diversification through SHG-based digital services, while threats involved unreliable digital infrastructure and delayed scheme disbursements. The SWOT model provided strategic insights into potential scaling frameworks and risk mitigation pathways.</w:t>
      </w:r>
    </w:p>
    <w:p w14:paraId="4EA42009" w14:textId="05A93BAA" w:rsidR="00E3000D" w:rsidRPr="00E522FE" w:rsidRDefault="00084B66" w:rsidP="00E3000D">
      <w:pPr>
        <w:spacing w:line="276" w:lineRule="auto"/>
        <w:jc w:val="both"/>
        <w:rPr>
          <w:rFonts w:ascii="Times New Roman" w:hAnsi="Times New Roman" w:cs="Times New Roman"/>
          <w:sz w:val="24"/>
          <w:szCs w:val="24"/>
          <w:lang w:val="en-US"/>
        </w:rPr>
      </w:pPr>
      <w:bookmarkStart w:id="4" w:name="swot-framework"/>
      <w:bookmarkStart w:id="5" w:name="Xaa72ee203cbf9206625d0d51c70c2b02bd2475e"/>
      <w:bookmarkEnd w:id="0"/>
      <w:bookmarkEnd w:id="4"/>
      <w:r w:rsidRPr="00E522FE">
        <w:rPr>
          <w:rFonts w:ascii="Times New Roman" w:hAnsi="Times New Roman" w:cs="Times New Roman"/>
          <w:b/>
          <w:bCs/>
          <w:sz w:val="24"/>
          <w:szCs w:val="24"/>
          <w:lang w:val="en-US"/>
        </w:rPr>
        <w:t>2.</w:t>
      </w:r>
      <w:r w:rsidR="00E3000D" w:rsidRPr="00E522FE">
        <w:rPr>
          <w:rFonts w:ascii="Times New Roman" w:hAnsi="Times New Roman" w:cs="Times New Roman"/>
          <w:b/>
          <w:bCs/>
          <w:sz w:val="24"/>
          <w:szCs w:val="24"/>
          <w:lang w:val="en-US"/>
        </w:rPr>
        <w:t>4.</w:t>
      </w:r>
      <w:r w:rsidRPr="00E522FE">
        <w:rPr>
          <w:rFonts w:ascii="Times New Roman" w:hAnsi="Times New Roman" w:cs="Times New Roman"/>
          <w:b/>
          <w:bCs/>
          <w:sz w:val="24"/>
          <w:szCs w:val="24"/>
          <w:lang w:val="en-US"/>
        </w:rPr>
        <w:t>5</w:t>
      </w:r>
      <w:r w:rsidR="00E3000D" w:rsidRPr="00E522FE">
        <w:rPr>
          <w:rFonts w:ascii="Times New Roman" w:hAnsi="Times New Roman" w:cs="Times New Roman"/>
          <w:b/>
          <w:bCs/>
          <w:sz w:val="24"/>
          <w:szCs w:val="24"/>
          <w:lang w:val="en-US"/>
        </w:rPr>
        <w:t xml:space="preserve"> Statistical Analysis of Financial Transformation</w:t>
      </w:r>
    </w:p>
    <w:p w14:paraId="2C985037" w14:textId="5F9D2ED2" w:rsidR="00084B66"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 xml:space="preserve">To empirically assess the economic outcomes of SHG participation, a paired sample t-test was performed to determine whether income levels had significantly changed post-SHG </w:t>
      </w:r>
      <w:r w:rsidRPr="00E522FE">
        <w:rPr>
          <w:rFonts w:ascii="Times New Roman" w:hAnsi="Times New Roman" w:cs="Times New Roman"/>
          <w:sz w:val="24"/>
          <w:szCs w:val="24"/>
          <w:lang w:val="en-US"/>
        </w:rPr>
        <w:lastRenderedPageBreak/>
        <w:t xml:space="preserve">engagement. Each respondent’s income before and after joining the SHG was compared using </w:t>
      </w:r>
      <w:r w:rsidR="00084B66" w:rsidRPr="00E522FE">
        <w:rPr>
          <w:rFonts w:ascii="Times New Roman" w:hAnsi="Times New Roman" w:cs="Times New Roman"/>
          <w:sz w:val="24"/>
          <w:szCs w:val="24"/>
          <w:lang w:val="en-US"/>
        </w:rPr>
        <w:t xml:space="preserve">Eq.4, </w:t>
      </w:r>
    </w:p>
    <w:p w14:paraId="7522E344" w14:textId="21674F7D" w:rsidR="00084B66" w:rsidRPr="00E522FE" w:rsidRDefault="00084B66" w:rsidP="00084B66">
      <w:pPr>
        <w:spacing w:line="276" w:lineRule="auto"/>
        <w:jc w:val="center"/>
        <w:rPr>
          <w:sz w:val="24"/>
          <w:szCs w:val="24"/>
          <w:lang w:val="en-US"/>
        </w:rPr>
      </w:pPr>
      <m:oMath>
        <m:r>
          <w:rPr>
            <w:rFonts w:ascii="Cambria Math" w:hAnsi="Cambria Math" w:cs="Times New Roman"/>
            <w:sz w:val="24"/>
            <w:szCs w:val="24"/>
            <w:lang w:val="en-US"/>
          </w:rPr>
          <m:t xml:space="preserve">                                                                              t</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limUpp>
              <m:limUppPr>
                <m:ctrlPr>
                  <w:rPr>
                    <w:rFonts w:ascii="Cambria Math" w:hAnsi="Cambria Math" w:cs="Times New Roman"/>
                    <w:sz w:val="24"/>
                    <w:szCs w:val="24"/>
                    <w:lang w:val="en-US"/>
                  </w:rPr>
                </m:ctrlPr>
              </m:limUppPr>
              <m:e>
                <m:r>
                  <w:rPr>
                    <w:rFonts w:ascii="Cambria Math" w:hAnsi="Cambria Math" w:cs="Times New Roman"/>
                    <w:sz w:val="24"/>
                    <w:szCs w:val="24"/>
                    <w:lang w:val="en-US"/>
                  </w:rPr>
                  <m:t>d</m:t>
                </m:r>
              </m:e>
              <m:lim>
                <m:r>
                  <w:rPr>
                    <w:rFonts w:ascii="Cambria Math" w:hAnsi="Cambria Math" w:cs="Times New Roman"/>
                    <w:sz w:val="24"/>
                    <w:szCs w:val="24"/>
                    <w:lang w:val="en-US"/>
                  </w:rPr>
                  <m:t>ˉ</m:t>
                </m:r>
              </m:lim>
            </m:limUpp>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r>
              <m:rPr>
                <m:sty m:val="p"/>
              </m:rPr>
              <w:rPr>
                <w:rFonts w:ascii="Cambria Math" w:hAnsi="Cambria Math" w:cs="Times New Roman"/>
                <w:sz w:val="24"/>
                <w:szCs w:val="24"/>
                <w:lang w:val="en-US"/>
              </w:rPr>
              <m:t>/</m:t>
            </m:r>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oMath>
      <w:r w:rsidRPr="00E522FE">
        <w:rPr>
          <w:sz w:val="24"/>
          <w:szCs w:val="24"/>
        </w:rPr>
        <w:t xml:space="preserve">                                                                           (4)</w:t>
      </w:r>
    </w:p>
    <w:p w14:paraId="0882DD83" w14:textId="34E6F24D"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Where</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dˉ</w:t>
      </w:r>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Mean difference between pre- and post-SHG income,</w:t>
      </w:r>
      <w:r w:rsidR="00084B66" w:rsidRPr="00E522FE">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d</m:t>
            </m:r>
          </m:sub>
        </m:sSub>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Standard deviation of the income differences</w:t>
      </w:r>
      <w:r w:rsidR="00084B66" w:rsidRPr="00E522FE">
        <w:rPr>
          <w:rFonts w:ascii="Times New Roman" w:hAnsi="Times New Roman" w:cs="Times New Roman"/>
          <w:sz w:val="24"/>
          <w:szCs w:val="24"/>
          <w:lang w:val="en-US"/>
        </w:rPr>
        <w:t xml:space="preserve"> and </w:t>
      </w:r>
      <m:oMath>
        <m:r>
          <w:rPr>
            <w:rFonts w:ascii="Cambria Math" w:hAnsi="Cambria Math" w:cs="Times New Roman"/>
            <w:sz w:val="24"/>
            <w:szCs w:val="24"/>
            <w:lang w:val="en-US"/>
          </w:rPr>
          <m:t>n</m:t>
        </m:r>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Number of respondents.</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To complement the income analysis, a Digital Inclusion Index (DII) was constructed to measure digital engagement among respondents. The DII was derived from three components</w:t>
      </w:r>
      <w:r w:rsidR="00084B66" w:rsidRPr="00E522FE">
        <w:rPr>
          <w:rFonts w:ascii="Times New Roman" w:hAnsi="Times New Roman" w:cs="Times New Roman"/>
          <w:sz w:val="24"/>
          <w:szCs w:val="24"/>
          <w:lang w:val="en-US"/>
        </w:rPr>
        <w:t xml:space="preserve"> is given in Eq.5,</w:t>
      </w:r>
    </w:p>
    <w:p w14:paraId="1F789FDE" w14:textId="3363628F" w:rsidR="00E3000D" w:rsidRPr="00E522FE" w:rsidRDefault="00084B66" w:rsidP="00084B66">
      <w:pPr>
        <w:spacing w:line="276" w:lineRule="auto"/>
        <w:jc w:val="center"/>
        <w:rPr>
          <w:sz w:val="24"/>
          <w:szCs w:val="24"/>
          <w:lang w:val="en-US"/>
        </w:rPr>
      </w:pPr>
      <m:oMath>
        <m:r>
          <w:rPr>
            <w:rFonts w:ascii="Cambria Math" w:hAnsi="Cambria Math" w:cs="Times New Roman"/>
            <w:sz w:val="24"/>
            <w:szCs w:val="24"/>
            <w:lang w:val="en-US"/>
          </w:rPr>
          <m:t xml:space="preserve">                                                                        DII</m:t>
        </m:r>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r>
          <m:rPr>
            <m:sty m:val="p"/>
          </m:rPr>
          <w:rPr>
            <w:rFonts w:ascii="Cambria Math" w:hAnsi="Cambria Math" w:cs="Times New Roman"/>
            <w:sz w:val="24"/>
            <w:szCs w:val="24"/>
            <w:lang w:val="en-US"/>
          </w:rPr>
          <m:t>(</m:t>
        </m:r>
        <m:r>
          <w:rPr>
            <w:rFonts w:ascii="Cambria Math" w:hAnsi="Cambria Math" w:cs="Times New Roman"/>
            <w:sz w:val="24"/>
            <w:szCs w:val="24"/>
            <w:lang w:val="en-US"/>
          </w:rPr>
          <m:t>B</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r>
          <w:rPr>
            <w:rFonts w:ascii="Cambria Math" w:hAnsi="Cambria Math" w:cs="Times New Roman"/>
            <w:sz w:val="24"/>
            <w:szCs w:val="24"/>
            <w:lang w:val="en-US"/>
          </w:rPr>
          <m:t>U</m:t>
        </m:r>
        <m:r>
          <m:rPr>
            <m:sty m:val="p"/>
          </m:rPr>
          <w:rPr>
            <w:rFonts w:ascii="Cambria Math" w:hAnsi="Cambria Math" w:cs="Times New Roman"/>
            <w:sz w:val="24"/>
            <w:szCs w:val="24"/>
            <w:lang w:val="en-US"/>
          </w:rPr>
          <m:t>)</m:t>
        </m:r>
      </m:oMath>
      <w:r w:rsidRPr="00E522FE">
        <w:rPr>
          <w:sz w:val="24"/>
          <w:szCs w:val="24"/>
        </w:rPr>
        <w:t xml:space="preserve">                                                               (5)</w:t>
      </w:r>
    </w:p>
    <w:p w14:paraId="0C857664" w14:textId="5E88CDD6" w:rsidR="00E3000D" w:rsidRPr="00E522FE" w:rsidRDefault="00E3000D" w:rsidP="00E3000D">
      <w:pPr>
        <w:spacing w:line="276" w:lineRule="auto"/>
        <w:jc w:val="both"/>
        <w:rPr>
          <w:rFonts w:ascii="Times New Roman" w:hAnsi="Times New Roman" w:cs="Times New Roman"/>
          <w:sz w:val="24"/>
          <w:szCs w:val="24"/>
          <w:lang w:val="en-US"/>
        </w:rPr>
      </w:pPr>
      <w:r w:rsidRPr="00E522FE">
        <w:rPr>
          <w:rFonts w:ascii="Times New Roman" w:hAnsi="Times New Roman" w:cs="Times New Roman"/>
          <w:sz w:val="24"/>
          <w:szCs w:val="24"/>
          <w:lang w:val="en-US"/>
        </w:rPr>
        <w:t>Where</w:t>
      </w:r>
      <w:r w:rsidR="00084B66" w:rsidRPr="00E522FE">
        <w:rPr>
          <w:rFonts w:ascii="Times New Roman" w:hAnsi="Times New Roman" w:cs="Times New Roman"/>
          <w:sz w:val="24"/>
          <w:szCs w:val="24"/>
          <w:lang w:val="en-US"/>
        </w:rPr>
        <w:t xml:space="preserve">, </w:t>
      </w:r>
      <m:oMath>
        <m:r>
          <w:rPr>
            <w:rFonts w:ascii="Cambria Math" w:hAnsi="Cambria Math" w:cs="Times New Roman"/>
            <w:sz w:val="24"/>
            <w:szCs w:val="24"/>
            <w:lang w:val="en-US"/>
          </w:rPr>
          <m:t>B</m:t>
        </m:r>
      </m:oMath>
      <w:r w:rsidR="00084B66" w:rsidRPr="00E522FE">
        <w:rPr>
          <w:rFonts w:ascii="Times New Roman" w:hAnsi="Times New Roman" w:cs="Times New Roman"/>
          <w:sz w:val="24"/>
          <w:szCs w:val="24"/>
          <w:lang w:val="en-US"/>
        </w:rPr>
        <w:t xml:space="preserve"> is the </w:t>
      </w:r>
      <w:r w:rsidRPr="00E522FE">
        <w:rPr>
          <w:rFonts w:ascii="Times New Roman" w:hAnsi="Times New Roman" w:cs="Times New Roman"/>
          <w:sz w:val="24"/>
          <w:szCs w:val="24"/>
          <w:lang w:val="en-US"/>
        </w:rPr>
        <w:t>Normalized frequency of digital banking use (0–1),</w:t>
      </w:r>
      <w:r w:rsidR="00084B66" w:rsidRPr="00E522FE">
        <w:rPr>
          <w:rFonts w:ascii="Times New Roman" w:hAnsi="Times New Roman" w:cs="Times New Roman"/>
          <w:sz w:val="24"/>
          <w:szCs w:val="24"/>
          <w:lang w:val="en-US"/>
        </w:rPr>
        <w:t xml:space="preserve"> </w:t>
      </w:r>
      <m:oMath>
        <m:r>
          <w:rPr>
            <w:rFonts w:ascii="Cambria Math" w:hAnsi="Cambria Math" w:cs="Times New Roman"/>
            <w:sz w:val="24"/>
            <w:szCs w:val="24"/>
            <w:lang w:val="en-US"/>
          </w:rPr>
          <m:t>T</m:t>
        </m:r>
      </m:oMath>
      <w:r w:rsidR="00084B66" w:rsidRPr="00E522FE">
        <w:rPr>
          <w:rFonts w:ascii="Times New Roman" w:hAnsi="Times New Roman" w:cs="Times New Roman"/>
          <w:sz w:val="24"/>
          <w:szCs w:val="24"/>
          <w:lang w:val="en-US"/>
        </w:rPr>
        <w:t xml:space="preserve"> is </w:t>
      </w:r>
      <w:proofErr w:type="gramStart"/>
      <w:r w:rsidR="00084B66" w:rsidRPr="00E522FE">
        <w:rPr>
          <w:rFonts w:ascii="Times New Roman" w:hAnsi="Times New Roman" w:cs="Times New Roman"/>
          <w:sz w:val="24"/>
          <w:szCs w:val="24"/>
          <w:lang w:val="en-US"/>
        </w:rPr>
        <w:t xml:space="preserve">the </w:t>
      </w:r>
      <w:r w:rsidRPr="00E522FE">
        <w:rPr>
          <w:rFonts w:ascii="Times New Roman" w:hAnsi="Times New Roman" w:cs="Times New Roman"/>
          <w:sz w:val="24"/>
          <w:szCs w:val="24"/>
          <w:lang w:val="en-US"/>
        </w:rPr>
        <w:t xml:space="preserve"> Number</w:t>
      </w:r>
      <w:proofErr w:type="gramEnd"/>
      <w:r w:rsidRPr="00E522FE">
        <w:rPr>
          <w:rFonts w:ascii="Times New Roman" w:hAnsi="Times New Roman" w:cs="Times New Roman"/>
          <w:sz w:val="24"/>
          <w:szCs w:val="24"/>
          <w:lang w:val="en-US"/>
        </w:rPr>
        <w:t xml:space="preserve"> of digital trainings attended (scaled to 0–1)</w:t>
      </w:r>
      <w:r w:rsidR="00084B66" w:rsidRPr="00E522FE">
        <w:rPr>
          <w:rFonts w:ascii="Times New Roman" w:hAnsi="Times New Roman" w:cs="Times New Roman"/>
          <w:sz w:val="24"/>
          <w:szCs w:val="24"/>
          <w:lang w:val="en-US"/>
        </w:rPr>
        <w:t xml:space="preserve"> and </w:t>
      </w:r>
      <m:oMath>
        <m:r>
          <w:rPr>
            <w:rFonts w:ascii="Cambria Math" w:hAnsi="Cambria Math" w:cs="Times New Roman"/>
            <w:sz w:val="24"/>
            <w:szCs w:val="24"/>
            <w:lang w:val="en-US"/>
          </w:rPr>
          <m:t>U</m:t>
        </m:r>
      </m:oMath>
      <w:r w:rsidR="00084B66" w:rsidRPr="00E522FE">
        <w:rPr>
          <w:rFonts w:ascii="Times New Roman" w:hAnsi="Times New Roman" w:cs="Times New Roman"/>
          <w:sz w:val="24"/>
          <w:szCs w:val="24"/>
          <w:lang w:val="en-US"/>
        </w:rPr>
        <w:t xml:space="preserve"> is the</w:t>
      </w:r>
      <w:r w:rsidRPr="00E522FE">
        <w:rPr>
          <w:rFonts w:ascii="Times New Roman" w:hAnsi="Times New Roman" w:cs="Times New Roman"/>
          <w:sz w:val="24"/>
          <w:szCs w:val="24"/>
          <w:lang w:val="en-US"/>
        </w:rPr>
        <w:t xml:space="preserve"> Unique digital services used (e.g., UPI, AEPS, </w:t>
      </w:r>
      <w:proofErr w:type="spellStart"/>
      <w:r w:rsidRPr="00E522FE">
        <w:rPr>
          <w:rFonts w:ascii="Times New Roman" w:hAnsi="Times New Roman" w:cs="Times New Roman"/>
          <w:sz w:val="24"/>
          <w:szCs w:val="24"/>
          <w:lang w:val="en-US"/>
        </w:rPr>
        <w:t>Rupay</w:t>
      </w:r>
      <w:proofErr w:type="spellEnd"/>
      <w:r w:rsidRPr="00E522FE">
        <w:rPr>
          <w:rFonts w:ascii="Times New Roman" w:hAnsi="Times New Roman" w:cs="Times New Roman"/>
          <w:sz w:val="24"/>
          <w:szCs w:val="24"/>
          <w:lang w:val="en-US"/>
        </w:rPr>
        <w:t>, scaled 0–1).</w:t>
      </w:r>
      <w:r w:rsidR="00084B66" w:rsidRPr="00E522FE">
        <w:rPr>
          <w:rFonts w:ascii="Times New Roman" w:hAnsi="Times New Roman" w:cs="Times New Roman"/>
          <w:sz w:val="24"/>
          <w:szCs w:val="24"/>
          <w:lang w:val="en-US"/>
        </w:rPr>
        <w:t xml:space="preserve"> </w:t>
      </w:r>
      <w:r w:rsidRPr="00E522FE">
        <w:rPr>
          <w:rFonts w:ascii="Times New Roman" w:hAnsi="Times New Roman" w:cs="Times New Roman"/>
          <w:sz w:val="24"/>
          <w:szCs w:val="24"/>
          <w:lang w:val="en-US"/>
        </w:rPr>
        <w:t xml:space="preserve">The average DII across the sample was </w:t>
      </w:r>
      <w:r w:rsidRPr="00E522FE">
        <w:rPr>
          <w:rFonts w:ascii="Times New Roman" w:hAnsi="Times New Roman" w:cs="Times New Roman"/>
          <w:b/>
          <w:bCs/>
          <w:sz w:val="24"/>
          <w:szCs w:val="24"/>
          <w:lang w:val="en-US"/>
        </w:rPr>
        <w:t>0.72</w:t>
      </w:r>
      <w:r w:rsidRPr="00E522FE">
        <w:rPr>
          <w:rFonts w:ascii="Times New Roman" w:hAnsi="Times New Roman" w:cs="Times New Roman"/>
          <w:sz w:val="24"/>
          <w:szCs w:val="24"/>
          <w:lang w:val="en-US"/>
        </w:rPr>
        <w:t>, indicating moderate-to-high digital integration. Higher DII scores were closely associated with stronger income diversification, better SHG performance, and greater community financial participation.</w:t>
      </w:r>
      <w:bookmarkEnd w:id="5"/>
    </w:p>
    <w:p w14:paraId="1C377DB1" w14:textId="2F258BD7" w:rsidR="000B148F" w:rsidRPr="00E522FE" w:rsidRDefault="000B148F" w:rsidP="00E3000D">
      <w:pPr>
        <w:spacing w:line="276" w:lineRule="auto"/>
        <w:jc w:val="both"/>
        <w:rPr>
          <w:rFonts w:ascii="Times New Roman" w:hAnsi="Times New Roman" w:cs="Times New Roman"/>
          <w:b/>
          <w:bCs/>
          <w:sz w:val="28"/>
          <w:szCs w:val="28"/>
          <w:lang w:val="en-US"/>
        </w:rPr>
      </w:pPr>
      <w:r w:rsidRPr="00E522FE">
        <w:rPr>
          <w:rFonts w:ascii="Times New Roman" w:hAnsi="Times New Roman" w:cs="Times New Roman"/>
          <w:b/>
          <w:bCs/>
          <w:sz w:val="28"/>
          <w:szCs w:val="28"/>
          <w:lang w:val="en-US"/>
        </w:rPr>
        <w:t xml:space="preserve">3. Results </w:t>
      </w:r>
    </w:p>
    <w:p w14:paraId="44F8736F" w14:textId="34A94543" w:rsidR="00673D99" w:rsidRPr="00E522FE" w:rsidRDefault="00673D99" w:rsidP="000B148F">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findings offer an exhaustive analysis of income and digital change suffered by SHG women beneficiaries across </w:t>
      </w:r>
      <w:proofErr w:type="spellStart"/>
      <w:r w:rsidRPr="00E522FE">
        <w:rPr>
          <w:rFonts w:ascii="Times New Roman" w:hAnsi="Times New Roman" w:cs="Times New Roman"/>
          <w:sz w:val="24"/>
          <w:szCs w:val="24"/>
        </w:rPr>
        <w:t>Simdega</w:t>
      </w:r>
      <w:proofErr w:type="spellEnd"/>
      <w:r w:rsidRPr="00E522FE">
        <w:rPr>
          <w:rFonts w:ascii="Times New Roman" w:hAnsi="Times New Roman" w:cs="Times New Roman"/>
          <w:sz w:val="24"/>
          <w:szCs w:val="24"/>
        </w:rPr>
        <w:t xml:space="preserve"> district. Based on both quantitative and qualitative information, this section identifies major trends in income development, digital uptake, and empowerment. Statistical methods like t-tests, correlation, and descriptive analysis were employed to confirm the impact. To further understand </w:t>
      </w:r>
      <w:proofErr w:type="spellStart"/>
      <w:r w:rsidRPr="00E522FE">
        <w:rPr>
          <w:rFonts w:ascii="Times New Roman" w:hAnsi="Times New Roman" w:cs="Times New Roman"/>
          <w:sz w:val="24"/>
          <w:szCs w:val="24"/>
        </w:rPr>
        <w:t>behavioral</w:t>
      </w:r>
      <w:proofErr w:type="spellEnd"/>
      <w:r w:rsidRPr="00E522FE">
        <w:rPr>
          <w:rFonts w:ascii="Times New Roman" w:hAnsi="Times New Roman" w:cs="Times New Roman"/>
          <w:sz w:val="24"/>
          <w:szCs w:val="24"/>
        </w:rPr>
        <w:t xml:space="preserve"> change, thematic insights from FGDs also supplement the analysis.</w:t>
      </w:r>
    </w:p>
    <w:p w14:paraId="65F11119" w14:textId="5991AF21" w:rsidR="000B148F" w:rsidRPr="00E522FE" w:rsidRDefault="00A42386" w:rsidP="000B148F">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w:t>
      </w:r>
      <w:r w:rsidR="000B148F" w:rsidRPr="00E522FE">
        <w:rPr>
          <w:rFonts w:ascii="Times New Roman" w:hAnsi="Times New Roman" w:cs="Times New Roman"/>
          <w:b/>
          <w:bCs/>
          <w:sz w:val="24"/>
          <w:szCs w:val="24"/>
        </w:rPr>
        <w:t>.1 Socio-economic Trends and Descriptive Statistics</w:t>
      </w:r>
    </w:p>
    <w:p w14:paraId="0CCAD832" w14:textId="7471C92F" w:rsidR="00C736C1" w:rsidRPr="00E522FE" w:rsidRDefault="000B148F" w:rsidP="00C736C1">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socio-economic profiling of 150 SHG women across </w:t>
      </w:r>
      <w:proofErr w:type="spellStart"/>
      <w:r w:rsidRPr="00E522FE">
        <w:rPr>
          <w:rFonts w:ascii="Times New Roman" w:hAnsi="Times New Roman" w:cs="Times New Roman"/>
          <w:sz w:val="24"/>
          <w:szCs w:val="24"/>
        </w:rPr>
        <w:t>Simdega's</w:t>
      </w:r>
      <w:proofErr w:type="spellEnd"/>
      <w:r w:rsidRPr="00E522FE">
        <w:rPr>
          <w:rFonts w:ascii="Times New Roman" w:hAnsi="Times New Roman" w:cs="Times New Roman"/>
          <w:sz w:val="24"/>
          <w:szCs w:val="24"/>
        </w:rPr>
        <w:t xml:space="preserve"> four tribal blocks revealed notable changes in income levels, occupational diversification, and household financial engagement post-SHG involvement. As shown in </w:t>
      </w:r>
      <w:r w:rsidRPr="00E522FE">
        <w:rPr>
          <w:rFonts w:ascii="Times New Roman" w:hAnsi="Times New Roman" w:cs="Times New Roman"/>
          <w:b/>
          <w:bCs/>
          <w:sz w:val="24"/>
          <w:szCs w:val="24"/>
        </w:rPr>
        <w:t>Table 1</w:t>
      </w:r>
      <w:r w:rsidRPr="00E522FE">
        <w:rPr>
          <w:rFonts w:ascii="Times New Roman" w:hAnsi="Times New Roman" w:cs="Times New Roman"/>
          <w:sz w:val="24"/>
          <w:szCs w:val="24"/>
        </w:rPr>
        <w:t>, the average monthly income increased from approximately ₹2,150 before joining SHGs to ₹5,780 afterward. Standard deviation values indicated a wider income spread post-intervention, suggesting varied levels of economic improvement based on enterprise type and training received.</w:t>
      </w:r>
    </w:p>
    <w:p w14:paraId="33CA4666" w14:textId="3F151540" w:rsidR="000B148F" w:rsidRPr="00E522FE" w:rsidRDefault="000B148F" w:rsidP="000B148F">
      <w:pPr>
        <w:spacing w:line="276" w:lineRule="auto"/>
        <w:jc w:val="center"/>
        <w:rPr>
          <w:rFonts w:ascii="Times New Roman" w:hAnsi="Times New Roman" w:cs="Times New Roman"/>
          <w:sz w:val="24"/>
          <w:szCs w:val="24"/>
        </w:rPr>
      </w:pPr>
      <w:r w:rsidRPr="00E522FE">
        <w:rPr>
          <w:rFonts w:ascii="Times New Roman" w:hAnsi="Times New Roman" w:cs="Times New Roman"/>
          <w:b/>
          <w:bCs/>
          <w:sz w:val="24"/>
          <w:szCs w:val="24"/>
        </w:rPr>
        <w:t>Table.1. Socio-economic Trends and Descriptive Statistics</w:t>
      </w:r>
    </w:p>
    <w:tbl>
      <w:tblPr>
        <w:tblStyle w:val="TableGrid"/>
        <w:tblW w:w="5000" w:type="pct"/>
        <w:tblLook w:val="04A0" w:firstRow="1" w:lastRow="0" w:firstColumn="1" w:lastColumn="0" w:noHBand="0" w:noVBand="1"/>
      </w:tblPr>
      <w:tblGrid>
        <w:gridCol w:w="2157"/>
        <w:gridCol w:w="2407"/>
        <w:gridCol w:w="2494"/>
        <w:gridCol w:w="1958"/>
      </w:tblGrid>
      <w:tr w:rsidR="000B148F" w:rsidRPr="00E522FE" w14:paraId="5080BDFB" w14:textId="77777777" w:rsidTr="000B148F">
        <w:tc>
          <w:tcPr>
            <w:tcW w:w="1196" w:type="pct"/>
            <w:hideMark/>
          </w:tcPr>
          <w:p w14:paraId="1BCAFC1D"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Indicator</w:t>
            </w:r>
          </w:p>
        </w:tc>
        <w:tc>
          <w:tcPr>
            <w:tcW w:w="1335" w:type="pct"/>
            <w:hideMark/>
          </w:tcPr>
          <w:p w14:paraId="5536B66E"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Pre-SHG Income (₹)</w:t>
            </w:r>
          </w:p>
        </w:tc>
        <w:tc>
          <w:tcPr>
            <w:tcW w:w="1383" w:type="pct"/>
            <w:hideMark/>
          </w:tcPr>
          <w:p w14:paraId="2F018842"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Post-SHG Income (₹)</w:t>
            </w:r>
          </w:p>
        </w:tc>
        <w:tc>
          <w:tcPr>
            <w:tcW w:w="1086" w:type="pct"/>
            <w:hideMark/>
          </w:tcPr>
          <w:p w14:paraId="68D50DD6" w14:textId="77777777" w:rsidR="000B148F" w:rsidRPr="00E522FE" w:rsidRDefault="000B148F" w:rsidP="000B148F">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Income Gain (₹)</w:t>
            </w:r>
          </w:p>
        </w:tc>
      </w:tr>
      <w:tr w:rsidR="000B148F" w:rsidRPr="00E522FE" w14:paraId="6F02583A" w14:textId="77777777" w:rsidTr="000B148F">
        <w:tc>
          <w:tcPr>
            <w:tcW w:w="1196" w:type="pct"/>
            <w:hideMark/>
          </w:tcPr>
          <w:p w14:paraId="76052DF5"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Mean</w:t>
            </w:r>
          </w:p>
        </w:tc>
        <w:tc>
          <w:tcPr>
            <w:tcW w:w="1335" w:type="pct"/>
            <w:hideMark/>
          </w:tcPr>
          <w:p w14:paraId="3FC0FFCC"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~2,150</w:t>
            </w:r>
          </w:p>
        </w:tc>
        <w:tc>
          <w:tcPr>
            <w:tcW w:w="1383" w:type="pct"/>
            <w:hideMark/>
          </w:tcPr>
          <w:p w14:paraId="6A220F3F"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~5,780</w:t>
            </w:r>
          </w:p>
        </w:tc>
        <w:tc>
          <w:tcPr>
            <w:tcW w:w="1086" w:type="pct"/>
            <w:hideMark/>
          </w:tcPr>
          <w:p w14:paraId="37AFD16F"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~3,630</w:t>
            </w:r>
          </w:p>
        </w:tc>
      </w:tr>
      <w:tr w:rsidR="000B148F" w:rsidRPr="00E522FE" w14:paraId="22171809" w14:textId="77777777" w:rsidTr="000B148F">
        <w:tc>
          <w:tcPr>
            <w:tcW w:w="1196" w:type="pct"/>
            <w:hideMark/>
          </w:tcPr>
          <w:p w14:paraId="47FF9F28"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Standard Deviation</w:t>
            </w:r>
          </w:p>
        </w:tc>
        <w:tc>
          <w:tcPr>
            <w:tcW w:w="1335" w:type="pct"/>
            <w:hideMark/>
          </w:tcPr>
          <w:p w14:paraId="3489A590"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~500</w:t>
            </w:r>
          </w:p>
        </w:tc>
        <w:tc>
          <w:tcPr>
            <w:tcW w:w="1383" w:type="pct"/>
            <w:hideMark/>
          </w:tcPr>
          <w:p w14:paraId="1FA14B99"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~700</w:t>
            </w:r>
          </w:p>
        </w:tc>
        <w:tc>
          <w:tcPr>
            <w:tcW w:w="1086" w:type="pct"/>
            <w:hideMark/>
          </w:tcPr>
          <w:p w14:paraId="09DDEE99"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~2,200</w:t>
            </w:r>
          </w:p>
        </w:tc>
      </w:tr>
      <w:tr w:rsidR="000B148F" w:rsidRPr="00E522FE" w14:paraId="669B8B9B" w14:textId="77777777" w:rsidTr="000B148F">
        <w:tc>
          <w:tcPr>
            <w:tcW w:w="1196" w:type="pct"/>
            <w:hideMark/>
          </w:tcPr>
          <w:p w14:paraId="6B01CA70"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Minimum</w:t>
            </w:r>
          </w:p>
        </w:tc>
        <w:tc>
          <w:tcPr>
            <w:tcW w:w="1335" w:type="pct"/>
            <w:hideMark/>
          </w:tcPr>
          <w:p w14:paraId="3EC01B3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~980</w:t>
            </w:r>
          </w:p>
        </w:tc>
        <w:tc>
          <w:tcPr>
            <w:tcW w:w="1383" w:type="pct"/>
            <w:hideMark/>
          </w:tcPr>
          <w:p w14:paraId="6AE179AD"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~3,900</w:t>
            </w:r>
          </w:p>
        </w:tc>
        <w:tc>
          <w:tcPr>
            <w:tcW w:w="1086" w:type="pct"/>
            <w:hideMark/>
          </w:tcPr>
          <w:p w14:paraId="6705DA7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~1,200</w:t>
            </w:r>
          </w:p>
        </w:tc>
      </w:tr>
      <w:tr w:rsidR="000B148F" w:rsidRPr="00E522FE" w14:paraId="3FB7AB7D" w14:textId="77777777" w:rsidTr="000B148F">
        <w:tc>
          <w:tcPr>
            <w:tcW w:w="1196" w:type="pct"/>
            <w:hideMark/>
          </w:tcPr>
          <w:p w14:paraId="78479ADD"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Maximum</w:t>
            </w:r>
          </w:p>
        </w:tc>
        <w:tc>
          <w:tcPr>
            <w:tcW w:w="1335" w:type="pct"/>
            <w:hideMark/>
          </w:tcPr>
          <w:p w14:paraId="6E0CFD27"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~3,500</w:t>
            </w:r>
          </w:p>
        </w:tc>
        <w:tc>
          <w:tcPr>
            <w:tcW w:w="1383" w:type="pct"/>
            <w:hideMark/>
          </w:tcPr>
          <w:p w14:paraId="0358BE87"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~7,800</w:t>
            </w:r>
          </w:p>
        </w:tc>
        <w:tc>
          <w:tcPr>
            <w:tcW w:w="1086" w:type="pct"/>
            <w:hideMark/>
          </w:tcPr>
          <w:p w14:paraId="7E91F02B" w14:textId="77777777" w:rsidR="000B148F" w:rsidRPr="00E522FE" w:rsidRDefault="000B148F" w:rsidP="000B148F">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~4,500</w:t>
            </w:r>
          </w:p>
        </w:tc>
      </w:tr>
    </w:tbl>
    <w:p w14:paraId="1B9F95CC" w14:textId="77777777" w:rsidR="0048219E" w:rsidRPr="00E522FE" w:rsidRDefault="0048219E" w:rsidP="0048219E">
      <w:pPr>
        <w:spacing w:line="276" w:lineRule="auto"/>
        <w:jc w:val="center"/>
        <w:rPr>
          <w:rFonts w:ascii="Times New Roman" w:hAnsi="Times New Roman" w:cs="Times New Roman"/>
          <w:sz w:val="24"/>
          <w:szCs w:val="24"/>
        </w:rPr>
      </w:pPr>
    </w:p>
    <w:p w14:paraId="54FB35D2" w14:textId="316F731B" w:rsidR="0048219E" w:rsidRPr="00E522FE" w:rsidRDefault="0048219E" w:rsidP="0048219E">
      <w:pPr>
        <w:spacing w:line="276" w:lineRule="auto"/>
        <w:jc w:val="center"/>
        <w:rPr>
          <w:rFonts w:ascii="Times New Roman" w:hAnsi="Times New Roman" w:cs="Times New Roman"/>
          <w:sz w:val="24"/>
          <w:szCs w:val="24"/>
        </w:rPr>
      </w:pPr>
      <w:r w:rsidRPr="00E522FE">
        <w:rPr>
          <w:rFonts w:ascii="Times New Roman" w:hAnsi="Times New Roman" w:cs="Times New Roman"/>
          <w:noProof/>
          <w:sz w:val="24"/>
          <w:szCs w:val="24"/>
        </w:rPr>
        <w:drawing>
          <wp:inline distT="0" distB="0" distL="0" distR="0" wp14:anchorId="06015FFC" wp14:editId="0B45E178">
            <wp:extent cx="4632290" cy="2421255"/>
            <wp:effectExtent l="0" t="0" r="0" b="0"/>
            <wp:docPr id="821174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8984" cy="2440434"/>
                    </a:xfrm>
                    <a:prstGeom prst="rect">
                      <a:avLst/>
                    </a:prstGeom>
                    <a:noFill/>
                    <a:ln>
                      <a:noFill/>
                    </a:ln>
                  </pic:spPr>
                </pic:pic>
              </a:graphicData>
            </a:graphic>
          </wp:inline>
        </w:drawing>
      </w:r>
    </w:p>
    <w:p w14:paraId="022C24D3" w14:textId="0D1E529C"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Figure 1: Pre- vs Post-SHG Income Comparison</w:t>
      </w:r>
    </w:p>
    <w:p w14:paraId="149F808F" w14:textId="7E4674AD"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As visualized in </w:t>
      </w:r>
      <w:r w:rsidRPr="00E522FE">
        <w:rPr>
          <w:rFonts w:ascii="Times New Roman" w:hAnsi="Times New Roman" w:cs="Times New Roman"/>
          <w:b/>
          <w:bCs/>
          <w:sz w:val="24"/>
          <w:szCs w:val="24"/>
        </w:rPr>
        <w:t>Figure 1</w:t>
      </w:r>
      <w:r w:rsidRPr="00E522FE">
        <w:rPr>
          <w:rFonts w:ascii="Times New Roman" w:hAnsi="Times New Roman" w:cs="Times New Roman"/>
          <w:sz w:val="24"/>
          <w:szCs w:val="24"/>
        </w:rPr>
        <w:t>, the box plot comparison shows a clear upward shift in income distribution, with higher medians and fewer low-income outliers after SHG participation.</w:t>
      </w:r>
    </w:p>
    <w:p w14:paraId="292EAC41" w14:textId="77777777" w:rsidR="00A42386" w:rsidRPr="00E522FE" w:rsidRDefault="00A42386" w:rsidP="0048219E">
      <w:pPr>
        <w:spacing w:line="276" w:lineRule="auto"/>
        <w:jc w:val="both"/>
        <w:rPr>
          <w:rFonts w:ascii="Times New Roman" w:hAnsi="Times New Roman" w:cs="Times New Roman"/>
          <w:b/>
          <w:bCs/>
          <w:sz w:val="24"/>
          <w:szCs w:val="24"/>
        </w:rPr>
      </w:pPr>
    </w:p>
    <w:p w14:paraId="392C16AC" w14:textId="7E5BF764" w:rsidR="0048219E" w:rsidRPr="00E522FE" w:rsidRDefault="00A42386"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w:t>
      </w:r>
      <w:r w:rsidR="0048219E" w:rsidRPr="00E522FE">
        <w:rPr>
          <w:rFonts w:ascii="Times New Roman" w:hAnsi="Times New Roman" w:cs="Times New Roman"/>
          <w:b/>
          <w:bCs/>
          <w:sz w:val="24"/>
          <w:szCs w:val="24"/>
        </w:rPr>
        <w:t>.2 Relationship Between Financial Exposure and Income Growth</w:t>
      </w:r>
    </w:p>
    <w:p w14:paraId="6B6EA61D" w14:textId="77777777"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To assess the relationship between loan amounts and resulting income growth, a cross-tabulation analysis was conducted. The majority of respondents receiving medium to high loan amounts (₹40,000–₹60,000) exhibited high or very </w:t>
      </w:r>
      <w:proofErr w:type="gramStart"/>
      <w:r w:rsidRPr="00E522FE">
        <w:rPr>
          <w:rFonts w:ascii="Times New Roman" w:hAnsi="Times New Roman" w:cs="Times New Roman"/>
          <w:sz w:val="24"/>
          <w:szCs w:val="24"/>
        </w:rPr>
        <w:t>high income</w:t>
      </w:r>
      <w:proofErr w:type="gramEnd"/>
      <w:r w:rsidRPr="00E522FE">
        <w:rPr>
          <w:rFonts w:ascii="Times New Roman" w:hAnsi="Times New Roman" w:cs="Times New Roman"/>
          <w:sz w:val="24"/>
          <w:szCs w:val="24"/>
        </w:rPr>
        <w:t xml:space="preserve"> gains. As illustrated in </w:t>
      </w:r>
      <w:r w:rsidRPr="00E522FE">
        <w:rPr>
          <w:rFonts w:ascii="Times New Roman" w:hAnsi="Times New Roman" w:cs="Times New Roman"/>
          <w:b/>
          <w:bCs/>
          <w:sz w:val="24"/>
          <w:szCs w:val="24"/>
        </w:rPr>
        <w:t>Table 2</w:t>
      </w:r>
      <w:r w:rsidRPr="00E522FE">
        <w:rPr>
          <w:rFonts w:ascii="Times New Roman" w:hAnsi="Times New Roman" w:cs="Times New Roman"/>
          <w:sz w:val="24"/>
          <w:szCs w:val="24"/>
        </w:rPr>
        <w:t>, this group had a more balanced distribution of loan access and income progression.</w:t>
      </w:r>
    </w:p>
    <w:p w14:paraId="0EE79A61" w14:textId="680CC858"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 2:  Loan vs Income Growth (Cross-tabulation)</w:t>
      </w:r>
    </w:p>
    <w:tbl>
      <w:tblPr>
        <w:tblStyle w:val="TableGrid"/>
        <w:tblW w:w="5000" w:type="pct"/>
        <w:tblLook w:val="04A0" w:firstRow="1" w:lastRow="0" w:firstColumn="1" w:lastColumn="0" w:noHBand="0" w:noVBand="1"/>
      </w:tblPr>
      <w:tblGrid>
        <w:gridCol w:w="1992"/>
        <w:gridCol w:w="1789"/>
        <w:gridCol w:w="1982"/>
        <w:gridCol w:w="1190"/>
        <w:gridCol w:w="2063"/>
      </w:tblGrid>
      <w:tr w:rsidR="0048219E" w:rsidRPr="00E522FE" w14:paraId="50898D08" w14:textId="77777777" w:rsidTr="0048219E">
        <w:tc>
          <w:tcPr>
            <w:tcW w:w="1105" w:type="pct"/>
            <w:hideMark/>
          </w:tcPr>
          <w:p w14:paraId="661A27D2"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Loan Size</w:t>
            </w:r>
          </w:p>
        </w:tc>
        <w:tc>
          <w:tcPr>
            <w:tcW w:w="992" w:type="pct"/>
            <w:hideMark/>
          </w:tcPr>
          <w:p w14:paraId="1476800E"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Minimal</w:t>
            </w:r>
          </w:p>
        </w:tc>
        <w:tc>
          <w:tcPr>
            <w:tcW w:w="1099" w:type="pct"/>
            <w:hideMark/>
          </w:tcPr>
          <w:p w14:paraId="211B479E"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Moderate</w:t>
            </w:r>
          </w:p>
        </w:tc>
        <w:tc>
          <w:tcPr>
            <w:tcW w:w="660" w:type="pct"/>
            <w:hideMark/>
          </w:tcPr>
          <w:p w14:paraId="2E974A85"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High</w:t>
            </w:r>
          </w:p>
        </w:tc>
        <w:tc>
          <w:tcPr>
            <w:tcW w:w="1144" w:type="pct"/>
            <w:hideMark/>
          </w:tcPr>
          <w:p w14:paraId="7D12AD26"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Very High</w:t>
            </w:r>
          </w:p>
        </w:tc>
      </w:tr>
      <w:tr w:rsidR="0048219E" w:rsidRPr="00E522FE" w14:paraId="14806F52" w14:textId="77777777" w:rsidTr="0048219E">
        <w:tc>
          <w:tcPr>
            <w:tcW w:w="1105" w:type="pct"/>
            <w:hideMark/>
          </w:tcPr>
          <w:p w14:paraId="47F43A0E"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Low</w:t>
            </w:r>
          </w:p>
        </w:tc>
        <w:tc>
          <w:tcPr>
            <w:tcW w:w="992" w:type="pct"/>
            <w:hideMark/>
          </w:tcPr>
          <w:p w14:paraId="7F64163B"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w:t>
            </w:r>
          </w:p>
        </w:tc>
        <w:tc>
          <w:tcPr>
            <w:tcW w:w="1099" w:type="pct"/>
            <w:hideMark/>
          </w:tcPr>
          <w:p w14:paraId="3DB5CBE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w:t>
            </w:r>
          </w:p>
        </w:tc>
        <w:tc>
          <w:tcPr>
            <w:tcW w:w="660" w:type="pct"/>
            <w:hideMark/>
          </w:tcPr>
          <w:p w14:paraId="025BF0C7"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w:t>
            </w:r>
          </w:p>
        </w:tc>
        <w:tc>
          <w:tcPr>
            <w:tcW w:w="1144" w:type="pct"/>
            <w:hideMark/>
          </w:tcPr>
          <w:p w14:paraId="1C30BAF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w:t>
            </w:r>
          </w:p>
        </w:tc>
      </w:tr>
      <w:tr w:rsidR="0048219E" w:rsidRPr="00E522FE" w14:paraId="2F62B98A" w14:textId="77777777" w:rsidTr="0048219E">
        <w:tc>
          <w:tcPr>
            <w:tcW w:w="1105" w:type="pct"/>
            <w:hideMark/>
          </w:tcPr>
          <w:p w14:paraId="1E3B5703"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Medium</w:t>
            </w:r>
          </w:p>
        </w:tc>
        <w:tc>
          <w:tcPr>
            <w:tcW w:w="992" w:type="pct"/>
            <w:hideMark/>
          </w:tcPr>
          <w:p w14:paraId="6585C6B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w:t>
            </w:r>
          </w:p>
        </w:tc>
        <w:tc>
          <w:tcPr>
            <w:tcW w:w="1099" w:type="pct"/>
            <w:hideMark/>
          </w:tcPr>
          <w:p w14:paraId="5826006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26</w:t>
            </w:r>
          </w:p>
        </w:tc>
        <w:tc>
          <w:tcPr>
            <w:tcW w:w="660" w:type="pct"/>
            <w:hideMark/>
          </w:tcPr>
          <w:p w14:paraId="44EB1F2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24</w:t>
            </w:r>
          </w:p>
        </w:tc>
        <w:tc>
          <w:tcPr>
            <w:tcW w:w="1144" w:type="pct"/>
            <w:hideMark/>
          </w:tcPr>
          <w:p w14:paraId="0B17E96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7</w:t>
            </w:r>
          </w:p>
        </w:tc>
      </w:tr>
      <w:tr w:rsidR="0048219E" w:rsidRPr="00E522FE" w14:paraId="23C3F024" w14:textId="77777777" w:rsidTr="0048219E">
        <w:tc>
          <w:tcPr>
            <w:tcW w:w="1105" w:type="pct"/>
            <w:hideMark/>
          </w:tcPr>
          <w:p w14:paraId="7974ACC9"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High</w:t>
            </w:r>
          </w:p>
        </w:tc>
        <w:tc>
          <w:tcPr>
            <w:tcW w:w="992" w:type="pct"/>
            <w:hideMark/>
          </w:tcPr>
          <w:p w14:paraId="0C158A1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4</w:t>
            </w:r>
          </w:p>
        </w:tc>
        <w:tc>
          <w:tcPr>
            <w:tcW w:w="1099" w:type="pct"/>
            <w:hideMark/>
          </w:tcPr>
          <w:p w14:paraId="315E692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20</w:t>
            </w:r>
          </w:p>
        </w:tc>
        <w:tc>
          <w:tcPr>
            <w:tcW w:w="660" w:type="pct"/>
            <w:hideMark/>
          </w:tcPr>
          <w:p w14:paraId="0DF48869"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29</w:t>
            </w:r>
          </w:p>
        </w:tc>
        <w:tc>
          <w:tcPr>
            <w:tcW w:w="1144" w:type="pct"/>
            <w:hideMark/>
          </w:tcPr>
          <w:p w14:paraId="7921E10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10</w:t>
            </w:r>
          </w:p>
        </w:tc>
      </w:tr>
      <w:tr w:rsidR="0048219E" w:rsidRPr="00E522FE" w14:paraId="61BE74A6" w14:textId="77777777" w:rsidTr="0048219E">
        <w:tc>
          <w:tcPr>
            <w:tcW w:w="1105" w:type="pct"/>
            <w:hideMark/>
          </w:tcPr>
          <w:p w14:paraId="2EE059F0"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Very High</w:t>
            </w:r>
          </w:p>
        </w:tc>
        <w:tc>
          <w:tcPr>
            <w:tcW w:w="992" w:type="pct"/>
            <w:hideMark/>
          </w:tcPr>
          <w:p w14:paraId="6FE72340"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w:t>
            </w:r>
          </w:p>
        </w:tc>
        <w:tc>
          <w:tcPr>
            <w:tcW w:w="1099" w:type="pct"/>
            <w:hideMark/>
          </w:tcPr>
          <w:p w14:paraId="1140510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w:t>
            </w:r>
          </w:p>
        </w:tc>
        <w:tc>
          <w:tcPr>
            <w:tcW w:w="660" w:type="pct"/>
            <w:hideMark/>
          </w:tcPr>
          <w:p w14:paraId="6B70457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10</w:t>
            </w:r>
          </w:p>
        </w:tc>
        <w:tc>
          <w:tcPr>
            <w:tcW w:w="1144" w:type="pct"/>
            <w:hideMark/>
          </w:tcPr>
          <w:p w14:paraId="4D26BA1B"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3</w:t>
            </w:r>
          </w:p>
        </w:tc>
      </w:tr>
    </w:tbl>
    <w:p w14:paraId="62F0D60A" w14:textId="77777777" w:rsidR="0048219E" w:rsidRPr="00E522FE" w:rsidRDefault="0048219E" w:rsidP="0048219E">
      <w:pPr>
        <w:spacing w:line="276" w:lineRule="auto"/>
        <w:jc w:val="both"/>
        <w:rPr>
          <w:rFonts w:ascii="Times New Roman" w:hAnsi="Times New Roman" w:cs="Times New Roman"/>
          <w:sz w:val="24"/>
          <w:szCs w:val="24"/>
        </w:rPr>
      </w:pPr>
    </w:p>
    <w:p w14:paraId="6401A6BC" w14:textId="0C18B286" w:rsidR="0048219E" w:rsidRPr="00E522FE" w:rsidRDefault="0048219E" w:rsidP="0048219E">
      <w:pPr>
        <w:spacing w:line="276" w:lineRule="auto"/>
        <w:jc w:val="center"/>
        <w:rPr>
          <w:rFonts w:ascii="Times New Roman" w:hAnsi="Times New Roman" w:cs="Times New Roman"/>
          <w:b/>
          <w:bCs/>
          <w:sz w:val="24"/>
          <w:szCs w:val="24"/>
        </w:rPr>
      </w:pPr>
      <w:r w:rsidRPr="00E522FE">
        <w:rPr>
          <w:noProof/>
          <w:sz w:val="24"/>
          <w:szCs w:val="24"/>
        </w:rPr>
        <w:lastRenderedPageBreak/>
        <w:drawing>
          <wp:inline distT="0" distB="0" distL="0" distR="0" wp14:anchorId="699C66EF" wp14:editId="683056A1">
            <wp:extent cx="3190352" cy="2542455"/>
            <wp:effectExtent l="0" t="0" r="0" b="0"/>
            <wp:docPr id="13107560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1299" cy="2551179"/>
                    </a:xfrm>
                    <a:prstGeom prst="rect">
                      <a:avLst/>
                    </a:prstGeom>
                    <a:noFill/>
                    <a:ln>
                      <a:noFill/>
                    </a:ln>
                  </pic:spPr>
                </pic:pic>
              </a:graphicData>
            </a:graphic>
          </wp:inline>
        </w:drawing>
      </w:r>
    </w:p>
    <w:p w14:paraId="7A8F8094" w14:textId="68FD99C9"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Figure 2: Heatmap – Loan Size vs. Income Growth</w:t>
      </w:r>
    </w:p>
    <w:p w14:paraId="0CD016F8" w14:textId="77777777" w:rsidR="00A42386" w:rsidRPr="00E522FE" w:rsidRDefault="00A42386" w:rsidP="0048219E">
      <w:pPr>
        <w:spacing w:line="276" w:lineRule="auto"/>
        <w:jc w:val="both"/>
        <w:rPr>
          <w:rFonts w:ascii="Times New Roman" w:hAnsi="Times New Roman" w:cs="Times New Roman"/>
          <w:sz w:val="24"/>
          <w:szCs w:val="24"/>
        </w:rPr>
      </w:pPr>
    </w:p>
    <w:p w14:paraId="5E1730F0" w14:textId="233A88AF" w:rsidR="0048219E" w:rsidRPr="00E522FE" w:rsidRDefault="00A42386"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While the cross-tabulation shows some clustering in the “High” loan and “High Income Growth” cells, the distribution is relatively even, without a sharply defined trend. To statistically assess the strength of this relationship, a </w:t>
      </w:r>
      <w:r w:rsidRPr="00E522FE">
        <w:rPr>
          <w:rFonts w:ascii="Times New Roman" w:hAnsi="Times New Roman" w:cs="Times New Roman"/>
          <w:b/>
          <w:bCs/>
          <w:sz w:val="24"/>
          <w:szCs w:val="24"/>
        </w:rPr>
        <w:t>Pearson correlation analysis</w:t>
      </w:r>
      <w:r w:rsidRPr="00E522FE">
        <w:rPr>
          <w:rFonts w:ascii="Times New Roman" w:hAnsi="Times New Roman" w:cs="Times New Roman"/>
          <w:sz w:val="24"/>
          <w:szCs w:val="24"/>
        </w:rPr>
        <w:t xml:space="preserve"> was conducted using loan size and income growth as continuous variables. The resulting correlation coefficient was r = −0.024, indicating a very weak and statistically insignificant linear relationship between the amount of loan received and the income growth reported. This lack of strong correlation implies that simply increasing loan size does not guarantee proportional income improvement. It reinforces the notion that other factors such as digital literacy, type of enterprise, access to markets, and post-loan support play a more critical role in determining financial outcomes. Therefore, future program strategies should emphasize integrated support services along with financial capital to maximize economic impact. </w:t>
      </w:r>
      <w:r w:rsidR="0048219E" w:rsidRPr="00E522FE">
        <w:rPr>
          <w:rFonts w:ascii="Times New Roman" w:hAnsi="Times New Roman" w:cs="Times New Roman"/>
          <w:sz w:val="24"/>
          <w:szCs w:val="24"/>
        </w:rPr>
        <w:t xml:space="preserve">The trend is further visualized in </w:t>
      </w:r>
      <w:r w:rsidR="0048219E" w:rsidRPr="00E522FE">
        <w:rPr>
          <w:rFonts w:ascii="Times New Roman" w:hAnsi="Times New Roman" w:cs="Times New Roman"/>
          <w:b/>
          <w:bCs/>
          <w:sz w:val="24"/>
          <w:szCs w:val="24"/>
        </w:rPr>
        <w:t>Figure 2</w:t>
      </w:r>
      <w:r w:rsidR="0048219E" w:rsidRPr="00E522FE">
        <w:rPr>
          <w:rFonts w:ascii="Times New Roman" w:hAnsi="Times New Roman" w:cs="Times New Roman"/>
          <w:sz w:val="24"/>
          <w:szCs w:val="24"/>
        </w:rPr>
        <w:t>, where a heatmap shows dense clustering of high-income growth in the 'High' loan size category.</w:t>
      </w:r>
    </w:p>
    <w:p w14:paraId="6B191DEA" w14:textId="77777777" w:rsidR="00A42386" w:rsidRPr="00E522FE" w:rsidRDefault="00A42386" w:rsidP="0048219E">
      <w:pPr>
        <w:spacing w:line="276" w:lineRule="auto"/>
        <w:jc w:val="both"/>
        <w:rPr>
          <w:rFonts w:ascii="Times New Roman" w:hAnsi="Times New Roman" w:cs="Times New Roman"/>
          <w:b/>
          <w:bCs/>
          <w:sz w:val="24"/>
          <w:szCs w:val="24"/>
        </w:rPr>
      </w:pPr>
    </w:p>
    <w:p w14:paraId="5D962076" w14:textId="7E9311A7"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3.3 Thematic Analysis of Empowerment and Digital Transition</w:t>
      </w:r>
    </w:p>
    <w:p w14:paraId="5C8029A7" w14:textId="6404EEED" w:rsidR="006121CB" w:rsidRPr="00E522FE" w:rsidRDefault="006121CB"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Focus Group Discussions (FGDs) carried out in the course of the study revealed four major themes reflecting the wider socio-economic changes undergone by women after engaging in Self Help Groups (SHGs). The most salient theme was financial confidence, as they indicated greater control over budgeting, saving, and loan repayment—a departure from the need to rely on male kin or traditional credit networks. Another important theme was trust in digital transactions, with women becoming increasingly comfortable transacting through UPI, AEPS, and mobile wallets, and regularly tutoring others in their communities through digital financial operations. There was also a livelihood transition, with several women moving out of subsistence wage work or household chores to operate microenterprises in tailoring, mushroom cultivation, poultry, and food processing and thus increasing household income and social standing. Yet, there were difficulties under the category of loan obstacles, such as delayed fund </w:t>
      </w:r>
      <w:r w:rsidRPr="00E522FE">
        <w:rPr>
          <w:rFonts w:ascii="Times New Roman" w:hAnsi="Times New Roman" w:cs="Times New Roman"/>
          <w:sz w:val="24"/>
          <w:szCs w:val="24"/>
        </w:rPr>
        <w:lastRenderedPageBreak/>
        <w:t xml:space="preserve">disbursement, limited knowledge of credit procedures, and bureaucratic issues within formal banking. Collectively, these topics indicate that efforts for financial inclusion have contributed not only to economic returns but also to increased independence, leadership, and </w:t>
      </w:r>
      <w:proofErr w:type="spellStart"/>
      <w:r w:rsidRPr="00E522FE">
        <w:rPr>
          <w:rFonts w:ascii="Times New Roman" w:hAnsi="Times New Roman" w:cs="Times New Roman"/>
          <w:sz w:val="24"/>
          <w:szCs w:val="24"/>
        </w:rPr>
        <w:t>behavioral</w:t>
      </w:r>
      <w:proofErr w:type="spellEnd"/>
      <w:r w:rsidRPr="00E522FE">
        <w:rPr>
          <w:rFonts w:ascii="Times New Roman" w:hAnsi="Times New Roman" w:cs="Times New Roman"/>
          <w:sz w:val="24"/>
          <w:szCs w:val="24"/>
        </w:rPr>
        <w:t xml:space="preserve"> change among rural women.</w:t>
      </w:r>
    </w:p>
    <w:p w14:paraId="44E912A1" w14:textId="16AA258F"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3.4 SWOT Assessment of SHG Financial Models</w:t>
      </w:r>
    </w:p>
    <w:p w14:paraId="3C7C85C0" w14:textId="2BD944B1"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 qualitative SWOT analysis </w:t>
      </w:r>
      <w:r w:rsidRPr="00E522FE">
        <w:rPr>
          <w:rFonts w:ascii="Times New Roman" w:hAnsi="Times New Roman" w:cs="Times New Roman"/>
          <w:b/>
          <w:bCs/>
          <w:sz w:val="24"/>
          <w:szCs w:val="24"/>
        </w:rPr>
        <w:t>(Table.3)</w:t>
      </w:r>
      <w:r w:rsidRPr="00E522FE">
        <w:rPr>
          <w:rFonts w:ascii="Times New Roman" w:hAnsi="Times New Roman" w:cs="Times New Roman"/>
          <w:sz w:val="24"/>
          <w:szCs w:val="24"/>
        </w:rPr>
        <w:t>, based on FGD narratives and local implementation feedback, evaluated the internal and external environment shaping SHG sustainability:</w:t>
      </w:r>
    </w:p>
    <w:p w14:paraId="07FEFD65" w14:textId="5F52E75B" w:rsidR="0048219E" w:rsidRPr="00E522FE" w:rsidRDefault="0048219E" w:rsidP="0048219E">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Table.3. SWOT Assessment of SHG Financial Models</w:t>
      </w:r>
    </w:p>
    <w:tbl>
      <w:tblPr>
        <w:tblStyle w:val="TableGrid"/>
        <w:tblW w:w="0" w:type="auto"/>
        <w:tblLook w:val="04A0" w:firstRow="1" w:lastRow="0" w:firstColumn="1" w:lastColumn="0" w:noHBand="0" w:noVBand="1"/>
      </w:tblPr>
      <w:tblGrid>
        <w:gridCol w:w="1797"/>
        <w:gridCol w:w="7219"/>
      </w:tblGrid>
      <w:tr w:rsidR="0048219E" w:rsidRPr="00E522FE" w14:paraId="0BE36519" w14:textId="77777777" w:rsidTr="0048219E">
        <w:tc>
          <w:tcPr>
            <w:tcW w:w="0" w:type="auto"/>
            <w:hideMark/>
          </w:tcPr>
          <w:p w14:paraId="1023F9BC"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SWOT Element</w:t>
            </w:r>
          </w:p>
        </w:tc>
        <w:tc>
          <w:tcPr>
            <w:tcW w:w="0" w:type="auto"/>
            <w:hideMark/>
          </w:tcPr>
          <w:p w14:paraId="4F3052C0"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Insights</w:t>
            </w:r>
          </w:p>
        </w:tc>
      </w:tr>
      <w:tr w:rsidR="0048219E" w:rsidRPr="00E522FE" w14:paraId="11AE7763" w14:textId="77777777" w:rsidTr="0048219E">
        <w:tc>
          <w:tcPr>
            <w:tcW w:w="0" w:type="auto"/>
            <w:hideMark/>
          </w:tcPr>
          <w:p w14:paraId="2DAA1F4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Strengths</w:t>
            </w:r>
          </w:p>
        </w:tc>
        <w:tc>
          <w:tcPr>
            <w:tcW w:w="0" w:type="auto"/>
            <w:hideMark/>
          </w:tcPr>
          <w:p w14:paraId="727F1DFD"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Peer trust, collective finance, small loan accessibility, institutional backing from JSLPS/JTDS</w:t>
            </w:r>
          </w:p>
        </w:tc>
      </w:tr>
      <w:tr w:rsidR="0048219E" w:rsidRPr="00E522FE" w14:paraId="7168FEDF" w14:textId="77777777" w:rsidTr="0048219E">
        <w:tc>
          <w:tcPr>
            <w:tcW w:w="0" w:type="auto"/>
            <w:hideMark/>
          </w:tcPr>
          <w:p w14:paraId="6D26C9D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Weaknesses</w:t>
            </w:r>
          </w:p>
        </w:tc>
        <w:tc>
          <w:tcPr>
            <w:tcW w:w="0" w:type="auto"/>
            <w:hideMark/>
          </w:tcPr>
          <w:p w14:paraId="0419EB6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Digital illiteracy among older members, limited market access, repayment delays</w:t>
            </w:r>
          </w:p>
        </w:tc>
      </w:tr>
      <w:tr w:rsidR="0048219E" w:rsidRPr="00E522FE" w14:paraId="7BB1FF06" w14:textId="77777777" w:rsidTr="0048219E">
        <w:tc>
          <w:tcPr>
            <w:tcW w:w="0" w:type="auto"/>
            <w:hideMark/>
          </w:tcPr>
          <w:p w14:paraId="6406A825"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Opportunities</w:t>
            </w:r>
          </w:p>
        </w:tc>
        <w:tc>
          <w:tcPr>
            <w:tcW w:w="0" w:type="auto"/>
            <w:hideMark/>
          </w:tcPr>
          <w:p w14:paraId="6E6D8C73"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Expansion of BC Sakhi model, scale-up of Didi Badi schemes, inclusion in digital insurance</w:t>
            </w:r>
          </w:p>
        </w:tc>
      </w:tr>
      <w:tr w:rsidR="0048219E" w:rsidRPr="00E522FE" w14:paraId="7D902BB4" w14:textId="77777777" w:rsidTr="0048219E">
        <w:tc>
          <w:tcPr>
            <w:tcW w:w="0" w:type="auto"/>
            <w:hideMark/>
          </w:tcPr>
          <w:p w14:paraId="76919511"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Threats</w:t>
            </w:r>
          </w:p>
        </w:tc>
        <w:tc>
          <w:tcPr>
            <w:tcW w:w="0" w:type="auto"/>
            <w:hideMark/>
          </w:tcPr>
          <w:p w14:paraId="4A10B22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Poor rural internet, digital fraud risk, over-dependence on SHG credit</w:t>
            </w:r>
          </w:p>
        </w:tc>
      </w:tr>
    </w:tbl>
    <w:p w14:paraId="60D2219A" w14:textId="77777777" w:rsidR="0048219E" w:rsidRPr="00E522FE" w:rsidRDefault="0048219E" w:rsidP="0048219E">
      <w:pPr>
        <w:spacing w:line="276" w:lineRule="auto"/>
        <w:jc w:val="both"/>
        <w:rPr>
          <w:rFonts w:ascii="Times New Roman" w:hAnsi="Times New Roman" w:cs="Times New Roman"/>
          <w:sz w:val="24"/>
          <w:szCs w:val="24"/>
        </w:rPr>
      </w:pPr>
    </w:p>
    <w:p w14:paraId="1EE9A3E9" w14:textId="492D102B"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assessment underlines the importance of continuous training, infrastructure improvement, and localized innovation for long-term sustainability.</w:t>
      </w:r>
    </w:p>
    <w:p w14:paraId="6DDBC972" w14:textId="0E31102A" w:rsidR="0048219E" w:rsidRPr="00E522FE" w:rsidRDefault="0048219E" w:rsidP="0048219E">
      <w:pPr>
        <w:spacing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3.5 Statistical Validation of Income Improvement</w:t>
      </w:r>
    </w:p>
    <w:p w14:paraId="6151A3AE" w14:textId="77777777" w:rsidR="00A42386" w:rsidRPr="00E522FE" w:rsidRDefault="00A42386" w:rsidP="00A42386">
      <w:pPr>
        <w:rPr>
          <w:rFonts w:ascii="Times New Roman" w:hAnsi="Times New Roman" w:cs="Times New Roman"/>
          <w:sz w:val="24"/>
          <w:szCs w:val="24"/>
        </w:rPr>
      </w:pPr>
      <w:r w:rsidRPr="00E522FE">
        <w:rPr>
          <w:rFonts w:ascii="Times New Roman" w:hAnsi="Times New Roman" w:cs="Times New Roman"/>
          <w:sz w:val="24"/>
          <w:szCs w:val="24"/>
        </w:rPr>
        <w:t>The statistical significance of the effect of SHG membership on income was confirmed through a paired t-test. The findings verify that there was a rise in income following the intervention, with an average increase of ₹3,630 and a t-value of a highly significant difference. This verifies that SHG membership and resultant financial inclusion programs significantly improved women's financial health. Concurrently, a Digital Inclusion Index (DII) was calculated for each survey respondent by frequency of digital transactions, exposure to training, and range of services utilized. Table 3 synthesizes DII performance throughout the sample.</w:t>
      </w:r>
    </w:p>
    <w:p w14:paraId="67E6B3FD" w14:textId="2B73B560"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 </w:t>
      </w:r>
      <w:r w:rsidRPr="00E522FE">
        <w:rPr>
          <w:rFonts w:ascii="Times New Roman" w:hAnsi="Times New Roman" w:cs="Times New Roman"/>
          <w:b/>
          <w:bCs/>
          <w:sz w:val="24"/>
          <w:szCs w:val="24"/>
        </w:rPr>
        <w:t>Table 3</w:t>
      </w:r>
      <w:r w:rsidRPr="00E522FE">
        <w:rPr>
          <w:rFonts w:ascii="Times New Roman" w:hAnsi="Times New Roman" w:cs="Times New Roman"/>
          <w:sz w:val="24"/>
          <w:szCs w:val="24"/>
        </w:rPr>
        <w:t xml:space="preserve"> summarizes DII performance across the sample.</w:t>
      </w:r>
    </w:p>
    <w:p w14:paraId="1893DF35" w14:textId="2704C441" w:rsidR="0048219E" w:rsidRPr="00E522FE" w:rsidRDefault="0048219E" w:rsidP="006121CB">
      <w:pPr>
        <w:spacing w:line="276" w:lineRule="auto"/>
        <w:jc w:val="center"/>
        <w:rPr>
          <w:rFonts w:ascii="Times New Roman" w:hAnsi="Times New Roman" w:cs="Times New Roman"/>
          <w:b/>
          <w:bCs/>
          <w:sz w:val="24"/>
          <w:szCs w:val="24"/>
        </w:rPr>
      </w:pPr>
      <w:r w:rsidRPr="00E522FE">
        <w:rPr>
          <w:rFonts w:ascii="Times New Roman" w:hAnsi="Times New Roman" w:cs="Times New Roman"/>
          <w:b/>
          <w:bCs/>
          <w:sz w:val="24"/>
          <w:szCs w:val="24"/>
        </w:rPr>
        <w:t>Table 3 –</w:t>
      </w:r>
      <w:r w:rsidR="006121CB" w:rsidRPr="00E522FE">
        <w:rPr>
          <w:rFonts w:ascii="Times New Roman" w:hAnsi="Times New Roman" w:cs="Times New Roman"/>
          <w:b/>
          <w:bCs/>
          <w:sz w:val="24"/>
          <w:szCs w:val="24"/>
        </w:rPr>
        <w:t xml:space="preserve"> Digital Inclusion Index</w:t>
      </w:r>
    </w:p>
    <w:tbl>
      <w:tblPr>
        <w:tblStyle w:val="TableGrid"/>
        <w:tblW w:w="2827" w:type="pct"/>
        <w:jc w:val="center"/>
        <w:tblLook w:val="04A0" w:firstRow="1" w:lastRow="0" w:firstColumn="1" w:lastColumn="0" w:noHBand="0" w:noVBand="1"/>
      </w:tblPr>
      <w:tblGrid>
        <w:gridCol w:w="2546"/>
        <w:gridCol w:w="2552"/>
      </w:tblGrid>
      <w:tr w:rsidR="0048219E" w:rsidRPr="00E522FE" w14:paraId="6817B8DA" w14:textId="77777777" w:rsidTr="006121CB">
        <w:trPr>
          <w:jc w:val="center"/>
        </w:trPr>
        <w:tc>
          <w:tcPr>
            <w:tcW w:w="2497" w:type="pct"/>
            <w:hideMark/>
          </w:tcPr>
          <w:p w14:paraId="7BE6B61D"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Statistic</w:t>
            </w:r>
          </w:p>
        </w:tc>
        <w:tc>
          <w:tcPr>
            <w:tcW w:w="2503" w:type="pct"/>
            <w:hideMark/>
          </w:tcPr>
          <w:p w14:paraId="5CE569C6" w14:textId="77777777" w:rsidR="0048219E" w:rsidRPr="00E522FE" w:rsidRDefault="0048219E" w:rsidP="0048219E">
            <w:pPr>
              <w:spacing w:after="160" w:line="276" w:lineRule="auto"/>
              <w:jc w:val="both"/>
              <w:rPr>
                <w:rFonts w:ascii="Times New Roman" w:hAnsi="Times New Roman" w:cs="Times New Roman"/>
                <w:b/>
                <w:bCs/>
                <w:sz w:val="24"/>
                <w:szCs w:val="24"/>
              </w:rPr>
            </w:pPr>
            <w:r w:rsidRPr="00E522FE">
              <w:rPr>
                <w:rFonts w:ascii="Times New Roman" w:hAnsi="Times New Roman" w:cs="Times New Roman"/>
                <w:b/>
                <w:bCs/>
                <w:sz w:val="24"/>
                <w:szCs w:val="24"/>
              </w:rPr>
              <w:t>Score</w:t>
            </w:r>
          </w:p>
        </w:tc>
      </w:tr>
      <w:tr w:rsidR="0048219E" w:rsidRPr="00E522FE" w14:paraId="44775FA5" w14:textId="77777777" w:rsidTr="006121CB">
        <w:trPr>
          <w:jc w:val="center"/>
        </w:trPr>
        <w:tc>
          <w:tcPr>
            <w:tcW w:w="2497" w:type="pct"/>
            <w:hideMark/>
          </w:tcPr>
          <w:p w14:paraId="711B80EC"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Mean</w:t>
            </w:r>
          </w:p>
        </w:tc>
        <w:tc>
          <w:tcPr>
            <w:tcW w:w="2503" w:type="pct"/>
            <w:hideMark/>
          </w:tcPr>
          <w:p w14:paraId="472DD5F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0.72</w:t>
            </w:r>
          </w:p>
        </w:tc>
      </w:tr>
      <w:tr w:rsidR="0048219E" w:rsidRPr="00E522FE" w14:paraId="2BC532BA" w14:textId="77777777" w:rsidTr="006121CB">
        <w:trPr>
          <w:jc w:val="center"/>
        </w:trPr>
        <w:tc>
          <w:tcPr>
            <w:tcW w:w="2497" w:type="pct"/>
            <w:hideMark/>
          </w:tcPr>
          <w:p w14:paraId="329D05C6"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Min</w:t>
            </w:r>
          </w:p>
        </w:tc>
        <w:tc>
          <w:tcPr>
            <w:tcW w:w="2503" w:type="pct"/>
            <w:hideMark/>
          </w:tcPr>
          <w:p w14:paraId="4CF345AF"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0.45</w:t>
            </w:r>
          </w:p>
        </w:tc>
      </w:tr>
      <w:tr w:rsidR="0048219E" w:rsidRPr="00E522FE" w14:paraId="26C79867" w14:textId="77777777" w:rsidTr="006121CB">
        <w:trPr>
          <w:jc w:val="center"/>
        </w:trPr>
        <w:tc>
          <w:tcPr>
            <w:tcW w:w="2497" w:type="pct"/>
            <w:hideMark/>
          </w:tcPr>
          <w:p w14:paraId="4737CF7A"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Max</w:t>
            </w:r>
          </w:p>
        </w:tc>
        <w:tc>
          <w:tcPr>
            <w:tcW w:w="2503" w:type="pct"/>
            <w:hideMark/>
          </w:tcPr>
          <w:p w14:paraId="431F6738"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0.98</w:t>
            </w:r>
          </w:p>
        </w:tc>
      </w:tr>
      <w:tr w:rsidR="0048219E" w:rsidRPr="00E522FE" w14:paraId="57371419" w14:textId="77777777" w:rsidTr="006121CB">
        <w:trPr>
          <w:jc w:val="center"/>
        </w:trPr>
        <w:tc>
          <w:tcPr>
            <w:tcW w:w="2497" w:type="pct"/>
            <w:hideMark/>
          </w:tcPr>
          <w:p w14:paraId="522E5EB7"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Std. Dev.</w:t>
            </w:r>
          </w:p>
        </w:tc>
        <w:tc>
          <w:tcPr>
            <w:tcW w:w="2503" w:type="pct"/>
            <w:hideMark/>
          </w:tcPr>
          <w:p w14:paraId="57F46E44" w14:textId="77777777" w:rsidR="0048219E" w:rsidRPr="00E522FE" w:rsidRDefault="0048219E" w:rsidP="0048219E">
            <w:pPr>
              <w:spacing w:after="160" w:line="276" w:lineRule="auto"/>
              <w:jc w:val="both"/>
              <w:rPr>
                <w:rFonts w:ascii="Times New Roman" w:hAnsi="Times New Roman" w:cs="Times New Roman"/>
                <w:sz w:val="24"/>
                <w:szCs w:val="24"/>
              </w:rPr>
            </w:pPr>
            <w:r w:rsidRPr="00E522FE">
              <w:rPr>
                <w:rFonts w:ascii="Times New Roman" w:hAnsi="Times New Roman" w:cs="Times New Roman"/>
                <w:sz w:val="24"/>
                <w:szCs w:val="24"/>
              </w:rPr>
              <w:t>0.14</w:t>
            </w:r>
          </w:p>
        </w:tc>
      </w:tr>
    </w:tbl>
    <w:p w14:paraId="770AE469" w14:textId="77777777" w:rsidR="0048219E" w:rsidRPr="00E522FE" w:rsidRDefault="0048219E" w:rsidP="0048219E">
      <w:pPr>
        <w:spacing w:line="276" w:lineRule="auto"/>
        <w:jc w:val="both"/>
        <w:rPr>
          <w:rFonts w:ascii="Times New Roman" w:hAnsi="Times New Roman" w:cs="Times New Roman"/>
          <w:sz w:val="24"/>
          <w:szCs w:val="24"/>
        </w:rPr>
      </w:pPr>
      <w:r w:rsidRPr="00E522FE">
        <w:rPr>
          <w:rFonts w:ascii="Times New Roman" w:hAnsi="Times New Roman" w:cs="Times New Roman"/>
          <w:b/>
          <w:bCs/>
          <w:sz w:val="24"/>
          <w:szCs w:val="24"/>
        </w:rPr>
        <w:t>Figure 3</w:t>
      </w:r>
      <w:r w:rsidRPr="00E522FE">
        <w:rPr>
          <w:rFonts w:ascii="Times New Roman" w:hAnsi="Times New Roman" w:cs="Times New Roman"/>
          <w:sz w:val="24"/>
          <w:szCs w:val="24"/>
        </w:rPr>
        <w:t xml:space="preserve"> shows the distribution of DII scores, where a majority of women fall in the 0.65–0.85 range, confirming moderate-to-high digital engagement.</w:t>
      </w:r>
    </w:p>
    <w:p w14:paraId="1B55F857" w14:textId="2A63FFA6" w:rsidR="006121CB" w:rsidRPr="00E522FE" w:rsidRDefault="006121CB" w:rsidP="0048219E">
      <w:pPr>
        <w:spacing w:line="276" w:lineRule="auto"/>
        <w:jc w:val="both"/>
        <w:rPr>
          <w:rFonts w:ascii="Times New Roman" w:hAnsi="Times New Roman" w:cs="Times New Roman"/>
          <w:sz w:val="24"/>
          <w:szCs w:val="24"/>
        </w:rPr>
      </w:pPr>
      <w:r w:rsidRPr="00E522FE">
        <w:rPr>
          <w:noProof/>
          <w:sz w:val="24"/>
          <w:szCs w:val="24"/>
        </w:rPr>
        <w:drawing>
          <wp:inline distT="0" distB="0" distL="0" distR="0" wp14:anchorId="16DA07AB" wp14:editId="46A587D9">
            <wp:extent cx="5731510" cy="3401695"/>
            <wp:effectExtent l="0" t="0" r="2540" b="8255"/>
            <wp:docPr id="5165792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01695"/>
                    </a:xfrm>
                    <a:prstGeom prst="rect">
                      <a:avLst/>
                    </a:prstGeom>
                    <a:noFill/>
                    <a:ln>
                      <a:noFill/>
                    </a:ln>
                  </pic:spPr>
                </pic:pic>
              </a:graphicData>
            </a:graphic>
          </wp:inline>
        </w:drawing>
      </w:r>
    </w:p>
    <w:p w14:paraId="77E98E78" w14:textId="575967CC" w:rsidR="0048219E" w:rsidRPr="00E522FE" w:rsidRDefault="0048219E" w:rsidP="006121CB">
      <w:pPr>
        <w:spacing w:line="276" w:lineRule="auto"/>
        <w:jc w:val="center"/>
        <w:rPr>
          <w:rFonts w:ascii="Times New Roman" w:hAnsi="Times New Roman" w:cs="Times New Roman"/>
          <w:sz w:val="24"/>
          <w:szCs w:val="24"/>
        </w:rPr>
      </w:pPr>
      <w:r w:rsidRPr="00E522FE">
        <w:rPr>
          <w:rFonts w:ascii="Times New Roman" w:hAnsi="Times New Roman" w:cs="Times New Roman"/>
          <w:b/>
          <w:bCs/>
          <w:sz w:val="24"/>
          <w:szCs w:val="24"/>
        </w:rPr>
        <w:t>Figure 3: Digital Inclusion Index (DII)</w:t>
      </w:r>
    </w:p>
    <w:p w14:paraId="259DDAE0" w14:textId="7F4ADA2C" w:rsidR="0048219E" w:rsidRPr="00E522FE" w:rsidRDefault="00673D99" w:rsidP="00673D99">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The results verify that SHG membership has increased women's income, digital literacy, and entrepreneurial activities considerably. Economic and social gains are supported by Digital Inclusion Index scores and statistical tests. Thematic and SWOT analysis reinforce empowerment as well as system-level issues. In total, the financial inclusion efforts have positively transformed rural women's financial capability and livelihoods.</w:t>
      </w:r>
    </w:p>
    <w:p w14:paraId="58EFED8A" w14:textId="4CA21DC5" w:rsidR="00A42386" w:rsidRPr="00E522FE" w:rsidRDefault="00E522FE" w:rsidP="00A42386">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4</w:t>
      </w:r>
      <w:r w:rsidR="00A42386" w:rsidRPr="00E522FE">
        <w:rPr>
          <w:rFonts w:ascii="Times New Roman" w:hAnsi="Times New Roman" w:cs="Times New Roman"/>
          <w:b/>
          <w:bCs/>
          <w:sz w:val="28"/>
          <w:szCs w:val="28"/>
        </w:rPr>
        <w:t xml:space="preserve">. Discussion </w:t>
      </w:r>
    </w:p>
    <w:p w14:paraId="282B51A7" w14:textId="500011B7" w:rsidR="00A42386" w:rsidRPr="00E522FE"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The conclusions drawn from this research give significant indications of the changing context of financial inclusion of rural women in tribal areas of Jharkhand. The integration of quantitative and qualitative analysis in the research reflects the multifaceted effects of </w:t>
      </w:r>
      <w:proofErr w:type="gramStart"/>
      <w:r w:rsidRPr="00E522FE">
        <w:rPr>
          <w:rFonts w:ascii="Times New Roman" w:hAnsi="Times New Roman" w:cs="Times New Roman"/>
          <w:sz w:val="24"/>
          <w:szCs w:val="24"/>
        </w:rPr>
        <w:t>Self Help</w:t>
      </w:r>
      <w:proofErr w:type="gramEnd"/>
      <w:r w:rsidRPr="00E522FE">
        <w:rPr>
          <w:rFonts w:ascii="Times New Roman" w:hAnsi="Times New Roman" w:cs="Times New Roman"/>
          <w:sz w:val="24"/>
          <w:szCs w:val="24"/>
        </w:rPr>
        <w:t xml:space="preserve"> Groups (SHGs), government schemes, and digital financial services in redefining the socio-economic context of women's lives. The strong rise in average monthly earnings—from ₹2,150 to ₹5,780 indicates the success of SHG participation and livelihood initiatives in developing economic empowerment. However, the reasonably poor correlation (r = –0.024) between loan amount and income increase indicates that income transformation is not purely because of financial capital. Rather, it is a wider ecosystem that includes training, support services, market linkages, and confidence-building that is essential for lasting impact. The Digital Inclusion Index (DII), with a mean score of 0.72, indicates a moderate-to-high degree of digital use among SHG women. This is especially noteworthy in tribal areas, where digital </w:t>
      </w:r>
      <w:r w:rsidRPr="00E522FE">
        <w:rPr>
          <w:rFonts w:ascii="Times New Roman" w:hAnsi="Times New Roman" w:cs="Times New Roman"/>
          <w:sz w:val="24"/>
          <w:szCs w:val="24"/>
        </w:rPr>
        <w:lastRenderedPageBreak/>
        <w:t xml:space="preserve">penetration has historically been low. Women's capacity to use AEPS, UPI apps, and digital wallets not only improved their access to financial services but also made them informal digital mentors in their localities. These results indicate that digital technologies, when combined with bottom-up capacity development, can be growth and leadership accelerators of inclusive growth. Qualitative evidence from the FGDs supports this quantitative change. Women explained how they transformed from living economically on others to becoming financially independent with increased confidence in managing money, having bank accounts, and running small businesses. Thematic analysis identified four key pillars of transition: financial trust, transaction trust in digital, livelihood transition, and barriers to loan access. Though positive developments were observed, deep-seated system glitches like delayed disbursal of loans, low levels of financial literacy, and lack of infrastructure still impede the best results. These findings underscore that financial inclusion cannot just access—it has to provide usability, sustainability, and active involvement. SWOT analysis also reiterated that although SHGs are supported by robust community backing, collective finance, and institutional support, they are also susceptible to digital infrastructure deficits, saturation of markets in some trades, and reliance on intermediaries. There are opportunities for replication of successful models such as the BC Sakhi initiative and digital doorstep banking, which integrate access with empowerment. But achieving this potential will need to be supported by focused policy intervention, local training modules, and strong monitoring systems. In short, the </w:t>
      </w:r>
      <w:r w:rsidR="004A21E4" w:rsidRPr="00E522FE">
        <w:rPr>
          <w:rFonts w:ascii="Times New Roman" w:hAnsi="Times New Roman" w:cs="Times New Roman"/>
          <w:sz w:val="24"/>
          <w:szCs w:val="24"/>
        </w:rPr>
        <w:t xml:space="preserve">study </w:t>
      </w:r>
      <w:r w:rsidRPr="00E522FE">
        <w:rPr>
          <w:rFonts w:ascii="Times New Roman" w:hAnsi="Times New Roman" w:cs="Times New Roman"/>
          <w:sz w:val="24"/>
          <w:szCs w:val="24"/>
        </w:rPr>
        <w:t>conclusions emphasize that the inclusion of finance in rural tribal communities is best achieved as a comprehensive development strategy. Financial products in themselves are not enough to change lives unless they are complemented with education, institutional trust, peer networks, and adaptive use of technology. Therefore, the road to inclusive development should give way to integrated, locally driven, and gender-sensitive strategies.</w:t>
      </w:r>
    </w:p>
    <w:p w14:paraId="20E82F63" w14:textId="77777777" w:rsidR="00A42386" w:rsidRPr="00E522FE" w:rsidRDefault="00A42386" w:rsidP="00A42386">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5. Conclusion</w:t>
      </w:r>
    </w:p>
    <w:p w14:paraId="5FB977D0" w14:textId="066EB9E4" w:rsidR="00A42386" w:rsidRDefault="00A42386" w:rsidP="00A42386">
      <w:p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This research concludes that financial inclusion initiatives, when combined with SHG-led facilitation, digital literacy, and enterprise development, significantly enhance the socio-economic well-being of rural women in Jharkhand. While gains in income were seen, sustainable change relied more on ecosystem dynamics than on financial inputs. Digital interaction became a tool as well as a badge of empowerment. For policy in the future, combining training, infrastructure, and market linkages is essential to ensuring long-term effects. A localized and holistic strategy will be critical to replicating such success in other underserved areas.</w:t>
      </w:r>
    </w:p>
    <w:p w14:paraId="432F99BA" w14:textId="77777777" w:rsidR="00E522FE" w:rsidRPr="00E522FE" w:rsidRDefault="00E522FE" w:rsidP="00A42386">
      <w:pPr>
        <w:spacing w:line="276" w:lineRule="auto"/>
        <w:jc w:val="both"/>
        <w:rPr>
          <w:rFonts w:ascii="Times New Roman" w:hAnsi="Times New Roman" w:cs="Times New Roman"/>
          <w:sz w:val="24"/>
          <w:szCs w:val="24"/>
        </w:rPr>
      </w:pPr>
    </w:p>
    <w:p w14:paraId="070613C6" w14:textId="15F5240C" w:rsidR="00DC4724" w:rsidRPr="00E522FE" w:rsidRDefault="00DC4724" w:rsidP="00C736C1">
      <w:pPr>
        <w:spacing w:line="276" w:lineRule="auto"/>
        <w:jc w:val="both"/>
        <w:rPr>
          <w:rFonts w:ascii="Times New Roman" w:hAnsi="Times New Roman" w:cs="Times New Roman"/>
          <w:b/>
          <w:bCs/>
          <w:sz w:val="28"/>
          <w:szCs w:val="28"/>
        </w:rPr>
      </w:pPr>
      <w:r w:rsidRPr="00E522FE">
        <w:rPr>
          <w:rFonts w:ascii="Times New Roman" w:hAnsi="Times New Roman" w:cs="Times New Roman"/>
          <w:b/>
          <w:bCs/>
          <w:sz w:val="28"/>
          <w:szCs w:val="28"/>
        </w:rPr>
        <w:t>6.References</w:t>
      </w:r>
    </w:p>
    <w:p w14:paraId="5D5881CA"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Agarwal, S., &amp; Ghosh, S. (2020). Digital banking and financial inclusion: A study on rural India. </w:t>
      </w:r>
      <w:r w:rsidRPr="00E522FE">
        <w:rPr>
          <w:rFonts w:ascii="Times New Roman" w:hAnsi="Times New Roman" w:cs="Times New Roman"/>
          <w:i/>
          <w:iCs/>
          <w:sz w:val="24"/>
          <w:szCs w:val="24"/>
        </w:rPr>
        <w:t>International Journal of Economics and Finance, 12</w:t>
      </w:r>
      <w:r w:rsidRPr="00E522FE">
        <w:rPr>
          <w:rFonts w:ascii="Times New Roman" w:hAnsi="Times New Roman" w:cs="Times New Roman"/>
          <w:sz w:val="24"/>
          <w:szCs w:val="24"/>
        </w:rPr>
        <w:t xml:space="preserve">(4), 45–56. </w:t>
      </w:r>
      <w:hyperlink r:id="rId9" w:tgtFrame="_new" w:history="1">
        <w:r w:rsidRPr="00E522FE">
          <w:rPr>
            <w:rStyle w:val="Hyperlink"/>
            <w:rFonts w:ascii="Times New Roman" w:hAnsi="Times New Roman" w:cs="Times New Roman"/>
            <w:sz w:val="24"/>
            <w:szCs w:val="24"/>
          </w:rPr>
          <w:t>https://doi.org/10.1016/j.ijef.2020.04.002</w:t>
        </w:r>
      </w:hyperlink>
    </w:p>
    <w:p w14:paraId="277806A4"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Barboza, J., &amp; Leong, M. (2021). The role of digital banking in fostering financial inclusion in rural economies. </w:t>
      </w:r>
      <w:r w:rsidRPr="00E522FE">
        <w:rPr>
          <w:rFonts w:ascii="Times New Roman" w:hAnsi="Times New Roman" w:cs="Times New Roman"/>
          <w:i/>
          <w:iCs/>
          <w:sz w:val="24"/>
          <w:szCs w:val="24"/>
        </w:rPr>
        <w:t>Journal of Rural Development, 40</w:t>
      </w:r>
      <w:r w:rsidRPr="00E522FE">
        <w:rPr>
          <w:rFonts w:ascii="Times New Roman" w:hAnsi="Times New Roman" w:cs="Times New Roman"/>
          <w:sz w:val="24"/>
          <w:szCs w:val="24"/>
        </w:rPr>
        <w:t xml:space="preserve">(2), 180–193. </w:t>
      </w:r>
      <w:hyperlink r:id="rId10" w:tgtFrame="_new" w:history="1">
        <w:r w:rsidRPr="00E522FE">
          <w:rPr>
            <w:rStyle w:val="Hyperlink"/>
            <w:rFonts w:ascii="Times New Roman" w:hAnsi="Times New Roman" w:cs="Times New Roman"/>
            <w:sz w:val="24"/>
            <w:szCs w:val="24"/>
          </w:rPr>
          <w:t>https://doi.org/10.1080/089336739.2021.1872212</w:t>
        </w:r>
      </w:hyperlink>
    </w:p>
    <w:p w14:paraId="42A3766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Bateman, M., Duvendack, M., &amp; </w:t>
      </w:r>
      <w:proofErr w:type="spellStart"/>
      <w:r w:rsidRPr="00E522FE">
        <w:rPr>
          <w:rFonts w:ascii="Times New Roman" w:hAnsi="Times New Roman" w:cs="Times New Roman"/>
          <w:sz w:val="24"/>
          <w:szCs w:val="24"/>
        </w:rPr>
        <w:t>Loubere</w:t>
      </w:r>
      <w:proofErr w:type="spellEnd"/>
      <w:r w:rsidRPr="00E522FE">
        <w:rPr>
          <w:rFonts w:ascii="Times New Roman" w:hAnsi="Times New Roman" w:cs="Times New Roman"/>
          <w:sz w:val="24"/>
          <w:szCs w:val="24"/>
        </w:rPr>
        <w:t xml:space="preserve">, N. (2019). Is fin-tech the new panacea for poverty alleviation and local development? </w:t>
      </w:r>
      <w:r w:rsidRPr="00E522FE">
        <w:rPr>
          <w:rFonts w:ascii="Times New Roman" w:hAnsi="Times New Roman" w:cs="Times New Roman"/>
          <w:i/>
          <w:iCs/>
          <w:sz w:val="24"/>
          <w:szCs w:val="24"/>
        </w:rPr>
        <w:t>Review of African Political Economy, 46</w:t>
      </w:r>
      <w:r w:rsidRPr="00E522FE">
        <w:rPr>
          <w:rFonts w:ascii="Times New Roman" w:hAnsi="Times New Roman" w:cs="Times New Roman"/>
          <w:sz w:val="24"/>
          <w:szCs w:val="24"/>
        </w:rPr>
        <w:t>(1), 1–16.</w:t>
      </w:r>
    </w:p>
    <w:p w14:paraId="1402296F"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Battilana, J., &amp; Casciaro, T. (2021). The effects of digital banking technologies on financial inclusion. </w:t>
      </w:r>
      <w:r w:rsidRPr="00E522FE">
        <w:rPr>
          <w:rFonts w:ascii="Times New Roman" w:hAnsi="Times New Roman" w:cs="Times New Roman"/>
          <w:i/>
          <w:iCs/>
          <w:sz w:val="24"/>
          <w:szCs w:val="24"/>
        </w:rPr>
        <w:t>Business &amp; Society, 60</w:t>
      </w:r>
      <w:r w:rsidRPr="00E522FE">
        <w:rPr>
          <w:rFonts w:ascii="Times New Roman" w:hAnsi="Times New Roman" w:cs="Times New Roman"/>
          <w:sz w:val="24"/>
          <w:szCs w:val="24"/>
        </w:rPr>
        <w:t xml:space="preserve">(2), 331–362. </w:t>
      </w:r>
      <w:hyperlink r:id="rId11" w:tgtFrame="_new" w:history="1">
        <w:r w:rsidRPr="00E522FE">
          <w:rPr>
            <w:rStyle w:val="Hyperlink"/>
            <w:rFonts w:ascii="Times New Roman" w:hAnsi="Times New Roman" w:cs="Times New Roman"/>
            <w:sz w:val="24"/>
            <w:szCs w:val="24"/>
          </w:rPr>
          <w:t>https://doi.org/10.1177/0007650320954069</w:t>
        </w:r>
      </w:hyperlink>
    </w:p>
    <w:p w14:paraId="31FC3CE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Bhattacharya, R., &amp; Sahoo, A. (2022). The impact of digital payment systems on rural financial inclusion in India. </w:t>
      </w:r>
      <w:r w:rsidRPr="00E522FE">
        <w:rPr>
          <w:rFonts w:ascii="Times New Roman" w:hAnsi="Times New Roman" w:cs="Times New Roman"/>
          <w:i/>
          <w:iCs/>
          <w:sz w:val="24"/>
          <w:szCs w:val="24"/>
        </w:rPr>
        <w:t>Journal of Rural Finance, 17</w:t>
      </w:r>
      <w:r w:rsidRPr="00E522FE">
        <w:rPr>
          <w:rFonts w:ascii="Times New Roman" w:hAnsi="Times New Roman" w:cs="Times New Roman"/>
          <w:sz w:val="24"/>
          <w:szCs w:val="24"/>
        </w:rPr>
        <w:t xml:space="preserve">(1), 47–61. </w:t>
      </w:r>
      <w:hyperlink r:id="rId12" w:tgtFrame="_new" w:history="1">
        <w:r w:rsidRPr="00E522FE">
          <w:rPr>
            <w:rStyle w:val="Hyperlink"/>
            <w:rFonts w:ascii="Times New Roman" w:hAnsi="Times New Roman" w:cs="Times New Roman"/>
            <w:sz w:val="24"/>
            <w:szCs w:val="24"/>
          </w:rPr>
          <w:t>https://doi.org/10.1108/JRF-09-2021-0071</w:t>
        </w:r>
      </w:hyperlink>
    </w:p>
    <w:p w14:paraId="34B9188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Chien, H., &amp; Wei, C. (2020). Exploring the financial inclusion agenda: The role of digital banking in rural communities. </w:t>
      </w:r>
      <w:r w:rsidRPr="00E522FE">
        <w:rPr>
          <w:rFonts w:ascii="Times New Roman" w:hAnsi="Times New Roman" w:cs="Times New Roman"/>
          <w:i/>
          <w:iCs/>
          <w:sz w:val="24"/>
          <w:szCs w:val="24"/>
        </w:rPr>
        <w:t>International Review of Financial Services, 35</w:t>
      </w:r>
      <w:r w:rsidRPr="00E522FE">
        <w:rPr>
          <w:rFonts w:ascii="Times New Roman" w:hAnsi="Times New Roman" w:cs="Times New Roman"/>
          <w:sz w:val="24"/>
          <w:szCs w:val="24"/>
        </w:rPr>
        <w:t xml:space="preserve">(1), 12–22. </w:t>
      </w:r>
      <w:hyperlink r:id="rId13" w:tgtFrame="_new" w:history="1">
        <w:r w:rsidRPr="00E522FE">
          <w:rPr>
            <w:rStyle w:val="Hyperlink"/>
            <w:rFonts w:ascii="Times New Roman" w:hAnsi="Times New Roman" w:cs="Times New Roman"/>
            <w:sz w:val="24"/>
            <w:szCs w:val="24"/>
          </w:rPr>
          <w:t>https://doi.org/10.1016/j.irefs.2019.12.004</w:t>
        </w:r>
      </w:hyperlink>
    </w:p>
    <w:p w14:paraId="3BEEA5C5"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Das, S., &amp; Pradhan, S. (2021). Digital banking adoption and its role in enhancing rural financial inclusion. </w:t>
      </w:r>
      <w:r w:rsidRPr="00E522FE">
        <w:rPr>
          <w:rFonts w:ascii="Times New Roman" w:hAnsi="Times New Roman" w:cs="Times New Roman"/>
          <w:i/>
          <w:iCs/>
          <w:sz w:val="24"/>
          <w:szCs w:val="24"/>
        </w:rPr>
        <w:t>Asian Economic Policy Review, 16</w:t>
      </w:r>
      <w:r w:rsidRPr="00E522FE">
        <w:rPr>
          <w:rFonts w:ascii="Times New Roman" w:hAnsi="Times New Roman" w:cs="Times New Roman"/>
          <w:sz w:val="24"/>
          <w:szCs w:val="24"/>
        </w:rPr>
        <w:t xml:space="preserve">(3), 328–348. </w:t>
      </w:r>
      <w:hyperlink r:id="rId14" w:tgtFrame="_new" w:history="1">
        <w:r w:rsidRPr="00E522FE">
          <w:rPr>
            <w:rStyle w:val="Hyperlink"/>
            <w:rFonts w:ascii="Times New Roman" w:hAnsi="Times New Roman" w:cs="Times New Roman"/>
            <w:sz w:val="24"/>
            <w:szCs w:val="24"/>
          </w:rPr>
          <w:t>https://doi.org/10.1111/aepr.12252</w:t>
        </w:r>
      </w:hyperlink>
    </w:p>
    <w:p w14:paraId="4D5A4F4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proofErr w:type="spellStart"/>
      <w:r w:rsidRPr="00E522FE">
        <w:rPr>
          <w:rFonts w:ascii="Times New Roman" w:hAnsi="Times New Roman" w:cs="Times New Roman"/>
          <w:sz w:val="24"/>
          <w:szCs w:val="24"/>
        </w:rPr>
        <w:t>Demirgüç</w:t>
      </w:r>
      <w:proofErr w:type="spellEnd"/>
      <w:r w:rsidRPr="00E522FE">
        <w:rPr>
          <w:rFonts w:ascii="Times New Roman" w:hAnsi="Times New Roman" w:cs="Times New Roman"/>
          <w:sz w:val="24"/>
          <w:szCs w:val="24"/>
        </w:rPr>
        <w:t xml:space="preserve">-Kunt, A., Klapper, L., Singer, D., Ansar, S., &amp; Hess, J. (2020). The global Findex database 2017: Measuring financial inclusion and opportunities to expand access to and use of financial services. </w:t>
      </w:r>
      <w:r w:rsidRPr="00E522FE">
        <w:rPr>
          <w:rFonts w:ascii="Times New Roman" w:hAnsi="Times New Roman" w:cs="Times New Roman"/>
          <w:i/>
          <w:iCs/>
          <w:sz w:val="24"/>
          <w:szCs w:val="24"/>
        </w:rPr>
        <w:t>World Bank Economic Review, 34</w:t>
      </w:r>
      <w:r w:rsidRPr="00E522FE">
        <w:rPr>
          <w:rFonts w:ascii="Times New Roman" w:hAnsi="Times New Roman" w:cs="Times New Roman"/>
          <w:sz w:val="24"/>
          <w:szCs w:val="24"/>
        </w:rPr>
        <w:t>(Supplement_1), S2–S8.</w:t>
      </w:r>
    </w:p>
    <w:p w14:paraId="1CA05965"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Duvendack, M., &amp; Mader, P. (2020). Impact of financial inclusion in low- and middle-income countries: A systematic review of reviews. </w:t>
      </w:r>
      <w:r w:rsidRPr="00E522FE">
        <w:rPr>
          <w:rFonts w:ascii="Times New Roman" w:hAnsi="Times New Roman" w:cs="Times New Roman"/>
          <w:i/>
          <w:iCs/>
          <w:sz w:val="24"/>
          <w:szCs w:val="24"/>
        </w:rPr>
        <w:t>Journal of Economic Surveys, 34</w:t>
      </w:r>
      <w:r w:rsidRPr="00E522FE">
        <w:rPr>
          <w:rFonts w:ascii="Times New Roman" w:hAnsi="Times New Roman" w:cs="Times New Roman"/>
          <w:sz w:val="24"/>
          <w:szCs w:val="24"/>
        </w:rPr>
        <w:t>(3), 594–629.</w:t>
      </w:r>
    </w:p>
    <w:p w14:paraId="4E92422B"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Duvendack, M., Sonne, L., &amp; </w:t>
      </w:r>
      <w:proofErr w:type="spellStart"/>
      <w:r w:rsidRPr="00E522FE">
        <w:rPr>
          <w:rFonts w:ascii="Times New Roman" w:hAnsi="Times New Roman" w:cs="Times New Roman"/>
          <w:sz w:val="24"/>
          <w:szCs w:val="24"/>
        </w:rPr>
        <w:t>Garikipati</w:t>
      </w:r>
      <w:proofErr w:type="spellEnd"/>
      <w:r w:rsidRPr="00E522FE">
        <w:rPr>
          <w:rFonts w:ascii="Times New Roman" w:hAnsi="Times New Roman" w:cs="Times New Roman"/>
          <w:sz w:val="24"/>
          <w:szCs w:val="24"/>
        </w:rPr>
        <w:t xml:space="preserve">, S. (2023). Gender inclusivity of India’s digital financial revolution for attainment of SDGs: Macro achievements and the micro experiences of targeted initiatives. </w:t>
      </w:r>
      <w:r w:rsidRPr="00E522FE">
        <w:rPr>
          <w:rFonts w:ascii="Times New Roman" w:hAnsi="Times New Roman" w:cs="Times New Roman"/>
          <w:i/>
          <w:iCs/>
          <w:sz w:val="24"/>
          <w:szCs w:val="24"/>
        </w:rPr>
        <w:t>European Journal of Development Research, 35</w:t>
      </w:r>
      <w:r w:rsidRPr="00E522FE">
        <w:rPr>
          <w:rFonts w:ascii="Times New Roman" w:hAnsi="Times New Roman" w:cs="Times New Roman"/>
          <w:sz w:val="24"/>
          <w:szCs w:val="24"/>
        </w:rPr>
        <w:t xml:space="preserve">, 1369–1391. </w:t>
      </w:r>
      <w:hyperlink r:id="rId15" w:tgtFrame="_new" w:history="1">
        <w:r w:rsidRPr="00E522FE">
          <w:rPr>
            <w:rStyle w:val="Hyperlink"/>
            <w:rFonts w:ascii="Times New Roman" w:hAnsi="Times New Roman" w:cs="Times New Roman"/>
            <w:sz w:val="24"/>
            <w:szCs w:val="24"/>
          </w:rPr>
          <w:t>https://doi.org/10.1057/s41287-023-00585-x</w:t>
        </w:r>
      </w:hyperlink>
    </w:p>
    <w:p w14:paraId="5C015A9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Ghosh, S., &amp; Mukherjee, A. (2021). Financial inclusion in rural areas: Leveraging digital banking solutions. </w:t>
      </w:r>
      <w:r w:rsidRPr="00E522FE">
        <w:rPr>
          <w:rFonts w:ascii="Times New Roman" w:hAnsi="Times New Roman" w:cs="Times New Roman"/>
          <w:i/>
          <w:iCs/>
          <w:sz w:val="24"/>
          <w:szCs w:val="24"/>
        </w:rPr>
        <w:t>International Journal of Financial Innovation in Banking, 6</w:t>
      </w:r>
      <w:r w:rsidRPr="00E522FE">
        <w:rPr>
          <w:rFonts w:ascii="Times New Roman" w:hAnsi="Times New Roman" w:cs="Times New Roman"/>
          <w:sz w:val="24"/>
          <w:szCs w:val="24"/>
        </w:rPr>
        <w:t xml:space="preserve">(2), 115–131. </w:t>
      </w:r>
      <w:hyperlink r:id="rId16" w:tgtFrame="_new" w:history="1">
        <w:r w:rsidRPr="00E522FE">
          <w:rPr>
            <w:rStyle w:val="Hyperlink"/>
            <w:rFonts w:ascii="Times New Roman" w:hAnsi="Times New Roman" w:cs="Times New Roman"/>
            <w:sz w:val="24"/>
            <w:szCs w:val="24"/>
          </w:rPr>
          <w:t>https://doi.org/10.1142/S2345715721500119</w:t>
        </w:r>
      </w:hyperlink>
    </w:p>
    <w:p w14:paraId="3AFD2D12"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Kochar, A., Nagabhushana, C., Sarkar, R., Shah, R., &amp; Singh, G. (2022). Financial access and women’s role in household decisions: Empirical evidence from India’s National Rural Livelihoods project. </w:t>
      </w:r>
      <w:r w:rsidRPr="00E522FE">
        <w:rPr>
          <w:rFonts w:ascii="Times New Roman" w:hAnsi="Times New Roman" w:cs="Times New Roman"/>
          <w:i/>
          <w:iCs/>
          <w:sz w:val="24"/>
          <w:szCs w:val="24"/>
        </w:rPr>
        <w:t>Journal of Development Economics, 155</w:t>
      </w:r>
      <w:r w:rsidRPr="00E522FE">
        <w:rPr>
          <w:rFonts w:ascii="Times New Roman" w:hAnsi="Times New Roman" w:cs="Times New Roman"/>
          <w:sz w:val="24"/>
          <w:szCs w:val="24"/>
        </w:rPr>
        <w:t>, 102821.</w:t>
      </w:r>
    </w:p>
    <w:p w14:paraId="1DB6D9B1"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Kumar, A., &amp; Mishra, M. (2020). Mobile banking and rural financial inclusion: Challenges and opportunities. </w:t>
      </w:r>
      <w:r w:rsidRPr="00E522FE">
        <w:rPr>
          <w:rFonts w:ascii="Times New Roman" w:hAnsi="Times New Roman" w:cs="Times New Roman"/>
          <w:i/>
          <w:iCs/>
          <w:sz w:val="24"/>
          <w:szCs w:val="24"/>
        </w:rPr>
        <w:t>Financial Inclusion Review, 3</w:t>
      </w:r>
      <w:r w:rsidRPr="00E522FE">
        <w:rPr>
          <w:rFonts w:ascii="Times New Roman" w:hAnsi="Times New Roman" w:cs="Times New Roman"/>
          <w:sz w:val="24"/>
          <w:szCs w:val="24"/>
        </w:rPr>
        <w:t xml:space="preserve">(1), 39–53. </w:t>
      </w:r>
      <w:hyperlink r:id="rId17" w:tgtFrame="_new" w:history="1">
        <w:r w:rsidRPr="00E522FE">
          <w:rPr>
            <w:rStyle w:val="Hyperlink"/>
            <w:rFonts w:ascii="Times New Roman" w:hAnsi="Times New Roman" w:cs="Times New Roman"/>
            <w:sz w:val="24"/>
            <w:szCs w:val="24"/>
          </w:rPr>
          <w:t>https://doi.org/10.1007/s10834-020-09562-w</w:t>
        </w:r>
      </w:hyperlink>
    </w:p>
    <w:p w14:paraId="0ACA201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Kumar, R., &amp; Pathak, D. C. (2022). Financial awareness: A bridge to financial inclusion. </w:t>
      </w:r>
      <w:r w:rsidRPr="00E522FE">
        <w:rPr>
          <w:rFonts w:ascii="Times New Roman" w:hAnsi="Times New Roman" w:cs="Times New Roman"/>
          <w:i/>
          <w:iCs/>
          <w:sz w:val="24"/>
          <w:szCs w:val="24"/>
        </w:rPr>
        <w:t>Development in Practice</w:t>
      </w:r>
      <w:r w:rsidRPr="00E522FE">
        <w:rPr>
          <w:rFonts w:ascii="Times New Roman" w:hAnsi="Times New Roman" w:cs="Times New Roman"/>
          <w:sz w:val="24"/>
          <w:szCs w:val="24"/>
        </w:rPr>
        <w:t>, 2022, 1–13.</w:t>
      </w:r>
    </w:p>
    <w:p w14:paraId="073DBC1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Lee, J., Morduch, J., Ravindran, S., &amp; </w:t>
      </w:r>
      <w:proofErr w:type="spellStart"/>
      <w:r w:rsidRPr="00E522FE">
        <w:rPr>
          <w:rFonts w:ascii="Times New Roman" w:hAnsi="Times New Roman" w:cs="Times New Roman"/>
          <w:sz w:val="24"/>
          <w:szCs w:val="24"/>
        </w:rPr>
        <w:t>Shonchoy</w:t>
      </w:r>
      <w:proofErr w:type="spellEnd"/>
      <w:r w:rsidRPr="00E522FE">
        <w:rPr>
          <w:rFonts w:ascii="Times New Roman" w:hAnsi="Times New Roman" w:cs="Times New Roman"/>
          <w:sz w:val="24"/>
          <w:szCs w:val="24"/>
        </w:rPr>
        <w:t xml:space="preserve">, A. (2021). Narrowing the gender gap in mobile banking. </w:t>
      </w:r>
      <w:r w:rsidRPr="00E522FE">
        <w:rPr>
          <w:rFonts w:ascii="Times New Roman" w:hAnsi="Times New Roman" w:cs="Times New Roman"/>
          <w:i/>
          <w:iCs/>
          <w:sz w:val="24"/>
          <w:szCs w:val="24"/>
        </w:rPr>
        <w:t>Working Paper No. 2108</w:t>
      </w:r>
      <w:r w:rsidRPr="00E522FE">
        <w:rPr>
          <w:rFonts w:ascii="Times New Roman" w:hAnsi="Times New Roman" w:cs="Times New Roman"/>
          <w:sz w:val="24"/>
          <w:szCs w:val="24"/>
        </w:rPr>
        <w:t xml:space="preserve">, Florida International University, Department of Economics. </w:t>
      </w:r>
      <w:hyperlink r:id="rId18" w:tgtFrame="_new" w:history="1">
        <w:r w:rsidRPr="00E522FE">
          <w:rPr>
            <w:rStyle w:val="Hyperlink"/>
            <w:rFonts w:ascii="Times New Roman" w:hAnsi="Times New Roman" w:cs="Times New Roman"/>
            <w:sz w:val="24"/>
            <w:szCs w:val="24"/>
          </w:rPr>
          <w:t>https://economics.fiu.edu/research/working-papers/2021/2108/2108.pdf</w:t>
        </w:r>
      </w:hyperlink>
    </w:p>
    <w:p w14:paraId="66659EDC"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Li, J., &amp; Zhang, Z. (2019). The role of fintech in promoting financial inclusion: Evidence from rural China. </w:t>
      </w:r>
      <w:r w:rsidRPr="00E522FE">
        <w:rPr>
          <w:rFonts w:ascii="Times New Roman" w:hAnsi="Times New Roman" w:cs="Times New Roman"/>
          <w:i/>
          <w:iCs/>
          <w:sz w:val="24"/>
          <w:szCs w:val="24"/>
        </w:rPr>
        <w:t>Journal of Finance and Economics, 7</w:t>
      </w:r>
      <w:r w:rsidRPr="00E522FE">
        <w:rPr>
          <w:rFonts w:ascii="Times New Roman" w:hAnsi="Times New Roman" w:cs="Times New Roman"/>
          <w:sz w:val="24"/>
          <w:szCs w:val="24"/>
        </w:rPr>
        <w:t xml:space="preserve">(5), 213–227. </w:t>
      </w:r>
      <w:hyperlink r:id="rId19" w:tgtFrame="_new" w:history="1">
        <w:r w:rsidRPr="00E522FE">
          <w:rPr>
            <w:rStyle w:val="Hyperlink"/>
            <w:rFonts w:ascii="Times New Roman" w:hAnsi="Times New Roman" w:cs="Times New Roman"/>
            <w:sz w:val="24"/>
            <w:szCs w:val="24"/>
          </w:rPr>
          <w:t>https://doi.org/10.1016/j.jfe.2019.03.011</w:t>
        </w:r>
      </w:hyperlink>
    </w:p>
    <w:p w14:paraId="638C5C53"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lastRenderedPageBreak/>
        <w:t xml:space="preserve">Martin, J., &amp; Shaw, K. (2021). Digital banking and financial inclusion in rural Africa: A case study approach. </w:t>
      </w:r>
      <w:r w:rsidRPr="00E522FE">
        <w:rPr>
          <w:rFonts w:ascii="Times New Roman" w:hAnsi="Times New Roman" w:cs="Times New Roman"/>
          <w:i/>
          <w:iCs/>
          <w:sz w:val="24"/>
          <w:szCs w:val="24"/>
        </w:rPr>
        <w:t>Journal of African Business, 22</w:t>
      </w:r>
      <w:r w:rsidRPr="00E522FE">
        <w:rPr>
          <w:rFonts w:ascii="Times New Roman" w:hAnsi="Times New Roman" w:cs="Times New Roman"/>
          <w:sz w:val="24"/>
          <w:szCs w:val="24"/>
        </w:rPr>
        <w:t xml:space="preserve">(3), 295–310. </w:t>
      </w:r>
      <w:hyperlink r:id="rId20" w:tgtFrame="_new" w:history="1">
        <w:r w:rsidRPr="00E522FE">
          <w:rPr>
            <w:rStyle w:val="Hyperlink"/>
            <w:rFonts w:ascii="Times New Roman" w:hAnsi="Times New Roman" w:cs="Times New Roman"/>
            <w:sz w:val="24"/>
            <w:szCs w:val="24"/>
          </w:rPr>
          <w:t>https://doi.org/10.1080/15228916.2021.1953439</w:t>
        </w:r>
      </w:hyperlink>
    </w:p>
    <w:p w14:paraId="1ABEC66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Mittal, A., &amp; Pandey, D. (2022). Digital banking: Empowering rural communities for financial independence. </w:t>
      </w:r>
      <w:r w:rsidRPr="00E522FE">
        <w:rPr>
          <w:rFonts w:ascii="Times New Roman" w:hAnsi="Times New Roman" w:cs="Times New Roman"/>
          <w:i/>
          <w:iCs/>
          <w:sz w:val="24"/>
          <w:szCs w:val="24"/>
        </w:rPr>
        <w:t>Asia-Pacific Journal of Rural Development, 43</w:t>
      </w:r>
      <w:r w:rsidRPr="00E522FE">
        <w:rPr>
          <w:rFonts w:ascii="Times New Roman" w:hAnsi="Times New Roman" w:cs="Times New Roman"/>
          <w:sz w:val="24"/>
          <w:szCs w:val="24"/>
        </w:rPr>
        <w:t xml:space="preserve">(4), 57–70. </w:t>
      </w:r>
      <w:hyperlink r:id="rId21" w:tgtFrame="_new" w:history="1">
        <w:r w:rsidRPr="00E522FE">
          <w:rPr>
            <w:rStyle w:val="Hyperlink"/>
            <w:rFonts w:ascii="Times New Roman" w:hAnsi="Times New Roman" w:cs="Times New Roman"/>
            <w:sz w:val="24"/>
            <w:szCs w:val="24"/>
          </w:rPr>
          <w:t>https://doi.org/10.1016/j.apjr.2022.03.006</w:t>
        </w:r>
      </w:hyperlink>
    </w:p>
    <w:p w14:paraId="23CE26A0"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Nair, R., &amp; Gopalakrishnan, V. (2020). Financial inclusion through digital banking: A rural perspective. </w:t>
      </w:r>
      <w:r w:rsidRPr="00E522FE">
        <w:rPr>
          <w:rFonts w:ascii="Times New Roman" w:hAnsi="Times New Roman" w:cs="Times New Roman"/>
          <w:i/>
          <w:iCs/>
          <w:sz w:val="24"/>
          <w:szCs w:val="24"/>
        </w:rPr>
        <w:t>Financial Inclusion and Development Review, 28</w:t>
      </w:r>
      <w:r w:rsidRPr="00E522FE">
        <w:rPr>
          <w:rFonts w:ascii="Times New Roman" w:hAnsi="Times New Roman" w:cs="Times New Roman"/>
          <w:sz w:val="24"/>
          <w:szCs w:val="24"/>
        </w:rPr>
        <w:t xml:space="preserve">(2), 112–125. </w:t>
      </w:r>
      <w:hyperlink r:id="rId22" w:tgtFrame="_new" w:history="1">
        <w:r w:rsidRPr="00E522FE">
          <w:rPr>
            <w:rStyle w:val="Hyperlink"/>
            <w:rFonts w:ascii="Times New Roman" w:hAnsi="Times New Roman" w:cs="Times New Roman"/>
            <w:sz w:val="24"/>
            <w:szCs w:val="24"/>
          </w:rPr>
          <w:t>https://doi.org/10.1080/23811972.2020.1825541</w:t>
        </w:r>
      </w:hyperlink>
    </w:p>
    <w:p w14:paraId="36AC8D5C"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Pinto, A. R., &amp; Arora, A. (2021). Digital doorstep banking: Female banking agents lead digital financial inclusion through the pandemic and beyond. </w:t>
      </w:r>
      <w:r w:rsidRPr="00E522FE">
        <w:rPr>
          <w:rFonts w:ascii="Times New Roman" w:hAnsi="Times New Roman" w:cs="Times New Roman"/>
          <w:i/>
          <w:iCs/>
          <w:sz w:val="24"/>
          <w:szCs w:val="24"/>
        </w:rPr>
        <w:t>ADBI Working Paper Series No. 1285</w:t>
      </w:r>
      <w:r w:rsidRPr="00E522FE">
        <w:rPr>
          <w:rFonts w:ascii="Times New Roman" w:hAnsi="Times New Roman" w:cs="Times New Roman"/>
          <w:sz w:val="24"/>
          <w:szCs w:val="24"/>
        </w:rPr>
        <w:t xml:space="preserve">. </w:t>
      </w:r>
      <w:hyperlink r:id="rId23" w:tgtFrame="_new" w:history="1">
        <w:r w:rsidRPr="00E522FE">
          <w:rPr>
            <w:rStyle w:val="Hyperlink"/>
            <w:rFonts w:ascii="Times New Roman" w:hAnsi="Times New Roman" w:cs="Times New Roman"/>
            <w:sz w:val="24"/>
            <w:szCs w:val="24"/>
          </w:rPr>
          <w:t>https://www.adb.org/publications/digital-doorstep-banking-female-banking-agents-lead-digital-financial-inclusion-through-the-pandemic-and-beyond</w:t>
        </w:r>
      </w:hyperlink>
    </w:p>
    <w:p w14:paraId="14B7D5F8"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Shankar, R., &amp; Gupta, M. (2021). Mobile financial services for rural economies: Challenges in digital banking adoption. </w:t>
      </w:r>
      <w:r w:rsidRPr="00E522FE">
        <w:rPr>
          <w:rFonts w:ascii="Times New Roman" w:hAnsi="Times New Roman" w:cs="Times New Roman"/>
          <w:i/>
          <w:iCs/>
          <w:sz w:val="24"/>
          <w:szCs w:val="24"/>
        </w:rPr>
        <w:t>Rural Economy and Finance Journal, 34</w:t>
      </w:r>
      <w:r w:rsidRPr="00E522FE">
        <w:rPr>
          <w:rFonts w:ascii="Times New Roman" w:hAnsi="Times New Roman" w:cs="Times New Roman"/>
          <w:sz w:val="24"/>
          <w:szCs w:val="24"/>
        </w:rPr>
        <w:t xml:space="preserve">(2), 189–204. </w:t>
      </w:r>
      <w:hyperlink r:id="rId24" w:tgtFrame="_new" w:history="1">
        <w:r w:rsidRPr="00E522FE">
          <w:rPr>
            <w:rStyle w:val="Hyperlink"/>
            <w:rFonts w:ascii="Times New Roman" w:hAnsi="Times New Roman" w:cs="Times New Roman"/>
            <w:sz w:val="24"/>
            <w:szCs w:val="24"/>
          </w:rPr>
          <w:t>https://doi.org/10.1145/3059654</w:t>
        </w:r>
      </w:hyperlink>
    </w:p>
    <w:p w14:paraId="6B9852DF"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Sharma, N., &amp; Bansal, P. (2021). Unlocking financial inclusion through digital banking in rural India. </w:t>
      </w:r>
      <w:r w:rsidRPr="00E522FE">
        <w:rPr>
          <w:rFonts w:ascii="Times New Roman" w:hAnsi="Times New Roman" w:cs="Times New Roman"/>
          <w:i/>
          <w:iCs/>
          <w:sz w:val="24"/>
          <w:szCs w:val="24"/>
        </w:rPr>
        <w:t>Indian Journal of Finance and Economics, 28</w:t>
      </w:r>
      <w:r w:rsidRPr="00E522FE">
        <w:rPr>
          <w:rFonts w:ascii="Times New Roman" w:hAnsi="Times New Roman" w:cs="Times New Roman"/>
          <w:sz w:val="24"/>
          <w:szCs w:val="24"/>
        </w:rPr>
        <w:t xml:space="preserve">(6), 215–228. </w:t>
      </w:r>
      <w:hyperlink r:id="rId25" w:tgtFrame="_new" w:history="1">
        <w:r w:rsidRPr="00E522FE">
          <w:rPr>
            <w:rStyle w:val="Hyperlink"/>
            <w:rFonts w:ascii="Times New Roman" w:hAnsi="Times New Roman" w:cs="Times New Roman"/>
            <w:sz w:val="24"/>
            <w:szCs w:val="24"/>
          </w:rPr>
          <w:t>https://doi.org/10.1016/j.ijfie.2021.05.002</w:t>
        </w:r>
      </w:hyperlink>
    </w:p>
    <w:p w14:paraId="4DB035AA"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Soni, A., &amp; Sharma, S. (2020). Financial literacy and digital banking in rural economies. </w:t>
      </w:r>
      <w:r w:rsidRPr="00E522FE">
        <w:rPr>
          <w:rFonts w:ascii="Times New Roman" w:hAnsi="Times New Roman" w:cs="Times New Roman"/>
          <w:i/>
          <w:iCs/>
          <w:sz w:val="24"/>
          <w:szCs w:val="24"/>
        </w:rPr>
        <w:t>Journal of Financial Inclusion and Literacy, 5</w:t>
      </w:r>
      <w:r w:rsidRPr="00E522FE">
        <w:rPr>
          <w:rFonts w:ascii="Times New Roman" w:hAnsi="Times New Roman" w:cs="Times New Roman"/>
          <w:sz w:val="24"/>
          <w:szCs w:val="24"/>
        </w:rPr>
        <w:t xml:space="preserve">(1), 75–89. </w:t>
      </w:r>
      <w:hyperlink r:id="rId26" w:tgtFrame="_new" w:history="1">
        <w:r w:rsidRPr="00E522FE">
          <w:rPr>
            <w:rStyle w:val="Hyperlink"/>
            <w:rFonts w:ascii="Times New Roman" w:hAnsi="Times New Roman" w:cs="Times New Roman"/>
            <w:sz w:val="24"/>
            <w:szCs w:val="24"/>
          </w:rPr>
          <w:t>https://doi.org/10.21477/fil.2019.1057</w:t>
        </w:r>
      </w:hyperlink>
    </w:p>
    <w:p w14:paraId="7C078FF3"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Swain, S., &amp; Kumar, R. (2022). Role of technology in driving financial inclusion in rural sectors: Evidence from India. </w:t>
      </w:r>
      <w:r w:rsidRPr="00E522FE">
        <w:rPr>
          <w:rFonts w:ascii="Times New Roman" w:hAnsi="Times New Roman" w:cs="Times New Roman"/>
          <w:i/>
          <w:iCs/>
          <w:sz w:val="24"/>
          <w:szCs w:val="24"/>
        </w:rPr>
        <w:t>Technology in Rural Development, 14</w:t>
      </w:r>
      <w:r w:rsidRPr="00E522FE">
        <w:rPr>
          <w:rFonts w:ascii="Times New Roman" w:hAnsi="Times New Roman" w:cs="Times New Roman"/>
          <w:sz w:val="24"/>
          <w:szCs w:val="24"/>
        </w:rPr>
        <w:t xml:space="preserve">(3), 199–211. </w:t>
      </w:r>
      <w:hyperlink r:id="rId27" w:tgtFrame="_new" w:history="1">
        <w:r w:rsidRPr="00E522FE">
          <w:rPr>
            <w:rStyle w:val="Hyperlink"/>
            <w:rFonts w:ascii="Times New Roman" w:hAnsi="Times New Roman" w:cs="Times New Roman"/>
            <w:sz w:val="24"/>
            <w:szCs w:val="24"/>
          </w:rPr>
          <w:t>https://doi.org/10.1016/j.trd.2022.05.003</w:t>
        </w:r>
      </w:hyperlink>
    </w:p>
    <w:p w14:paraId="492A4B46"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sz w:val="24"/>
          <w:szCs w:val="24"/>
        </w:rPr>
      </w:pPr>
      <w:r w:rsidRPr="00E522FE">
        <w:rPr>
          <w:rFonts w:ascii="Times New Roman" w:hAnsi="Times New Roman" w:cs="Times New Roman"/>
          <w:sz w:val="24"/>
          <w:szCs w:val="24"/>
        </w:rPr>
        <w:t xml:space="preserve">Vishwakarma, A., &amp; Ghosh, P. (2020). The role of government policies in fostering digital financial inclusion in rural India. </w:t>
      </w:r>
      <w:r w:rsidRPr="00E522FE">
        <w:rPr>
          <w:rFonts w:ascii="Times New Roman" w:hAnsi="Times New Roman" w:cs="Times New Roman"/>
          <w:i/>
          <w:iCs/>
          <w:sz w:val="24"/>
          <w:szCs w:val="24"/>
        </w:rPr>
        <w:t>Public Policy and Administration Journal, 15</w:t>
      </w:r>
      <w:r w:rsidRPr="00E522FE">
        <w:rPr>
          <w:rFonts w:ascii="Times New Roman" w:hAnsi="Times New Roman" w:cs="Times New Roman"/>
          <w:sz w:val="24"/>
          <w:szCs w:val="24"/>
        </w:rPr>
        <w:t xml:space="preserve">(1), 63–76. </w:t>
      </w:r>
      <w:hyperlink r:id="rId28" w:tgtFrame="_new" w:history="1">
        <w:r w:rsidRPr="00E522FE">
          <w:rPr>
            <w:rStyle w:val="Hyperlink"/>
            <w:rFonts w:ascii="Times New Roman" w:hAnsi="Times New Roman" w:cs="Times New Roman"/>
            <w:sz w:val="24"/>
            <w:szCs w:val="24"/>
          </w:rPr>
          <w:t>https://doi.org/10.1177/0975542920905426</w:t>
        </w:r>
      </w:hyperlink>
    </w:p>
    <w:p w14:paraId="769688C7" w14:textId="77777777" w:rsidR="00DC4724" w:rsidRPr="00E522FE" w:rsidRDefault="00DC4724" w:rsidP="00C736C1">
      <w:pPr>
        <w:pStyle w:val="ListParagraph"/>
        <w:numPr>
          <w:ilvl w:val="0"/>
          <w:numId w:val="1"/>
        </w:numPr>
        <w:spacing w:line="276" w:lineRule="auto"/>
        <w:jc w:val="both"/>
        <w:rPr>
          <w:rFonts w:ascii="Times New Roman" w:hAnsi="Times New Roman" w:cs="Times New Roman"/>
          <w:b/>
          <w:bCs/>
          <w:sz w:val="24"/>
          <w:szCs w:val="24"/>
        </w:rPr>
      </w:pPr>
      <w:r w:rsidRPr="00E522FE">
        <w:rPr>
          <w:rFonts w:ascii="Times New Roman" w:hAnsi="Times New Roman" w:cs="Times New Roman"/>
          <w:sz w:val="24"/>
          <w:szCs w:val="24"/>
        </w:rPr>
        <w:t xml:space="preserve">Yadav, A., &amp; Verma, S. (2021). The impact of digital banking services on rural development. </w:t>
      </w:r>
      <w:r w:rsidRPr="00E522FE">
        <w:rPr>
          <w:rFonts w:ascii="Times New Roman" w:hAnsi="Times New Roman" w:cs="Times New Roman"/>
          <w:i/>
          <w:iCs/>
          <w:sz w:val="24"/>
          <w:szCs w:val="24"/>
        </w:rPr>
        <w:t>Asian Journal of Rural Finance, 9</w:t>
      </w:r>
      <w:r w:rsidRPr="00E522FE">
        <w:rPr>
          <w:rFonts w:ascii="Times New Roman" w:hAnsi="Times New Roman" w:cs="Times New Roman"/>
          <w:sz w:val="24"/>
          <w:szCs w:val="24"/>
        </w:rPr>
        <w:t xml:space="preserve">(4), 102–118. </w:t>
      </w:r>
      <w:hyperlink r:id="rId29" w:tgtFrame="_new" w:history="1">
        <w:r w:rsidRPr="00E522FE">
          <w:rPr>
            <w:rStyle w:val="Hyperlink"/>
            <w:rFonts w:ascii="Times New Roman" w:hAnsi="Times New Roman" w:cs="Times New Roman"/>
            <w:sz w:val="24"/>
            <w:szCs w:val="24"/>
          </w:rPr>
          <w:t>https://doi.org/10.21467/ajrf.2021.0155</w:t>
        </w:r>
      </w:hyperlink>
    </w:p>
    <w:p w14:paraId="7204C2D4" w14:textId="77777777" w:rsidR="00DC4724" w:rsidRPr="00E522FE" w:rsidRDefault="00DC4724" w:rsidP="00C736C1">
      <w:pPr>
        <w:spacing w:line="276" w:lineRule="auto"/>
        <w:jc w:val="both"/>
        <w:rPr>
          <w:rFonts w:ascii="Times New Roman" w:hAnsi="Times New Roman" w:cs="Times New Roman"/>
          <w:b/>
          <w:bCs/>
          <w:sz w:val="24"/>
          <w:szCs w:val="24"/>
        </w:rPr>
      </w:pPr>
    </w:p>
    <w:sectPr w:rsidR="00DC4724" w:rsidRPr="00E5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4A4141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9E42E3"/>
    <w:multiLevelType w:val="multilevel"/>
    <w:tmpl w:val="6E6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8672B"/>
    <w:multiLevelType w:val="multilevel"/>
    <w:tmpl w:val="6FC2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035FB3"/>
    <w:multiLevelType w:val="hybridMultilevel"/>
    <w:tmpl w:val="20DAA85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649872851">
    <w:abstractNumId w:val="3"/>
  </w:num>
  <w:num w:numId="2" w16cid:durableId="1013460270">
    <w:abstractNumId w:val="0"/>
  </w:num>
  <w:num w:numId="3" w16cid:durableId="914583948">
    <w:abstractNumId w:val="1"/>
  </w:num>
  <w:num w:numId="4" w16cid:durableId="206459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4E"/>
    <w:rsid w:val="0003611D"/>
    <w:rsid w:val="00077288"/>
    <w:rsid w:val="00084B66"/>
    <w:rsid w:val="000B148F"/>
    <w:rsid w:val="00110B3C"/>
    <w:rsid w:val="00191ABC"/>
    <w:rsid w:val="0029684E"/>
    <w:rsid w:val="0048219E"/>
    <w:rsid w:val="004A21E4"/>
    <w:rsid w:val="004C76C4"/>
    <w:rsid w:val="006121CB"/>
    <w:rsid w:val="00666AC8"/>
    <w:rsid w:val="00673D99"/>
    <w:rsid w:val="007E2F1C"/>
    <w:rsid w:val="00A019A8"/>
    <w:rsid w:val="00A42386"/>
    <w:rsid w:val="00AA2FE1"/>
    <w:rsid w:val="00BB42FF"/>
    <w:rsid w:val="00C736C1"/>
    <w:rsid w:val="00DC4724"/>
    <w:rsid w:val="00E3000D"/>
    <w:rsid w:val="00E522FE"/>
    <w:rsid w:val="00EF08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04CA"/>
  <w15:chartTrackingRefBased/>
  <w15:docId w15:val="{E0578AC6-AED9-45EB-9E48-CAFC7FEB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84E"/>
    <w:rPr>
      <w:rFonts w:eastAsiaTheme="majorEastAsia" w:cstheme="majorBidi"/>
      <w:color w:val="272727" w:themeColor="text1" w:themeTint="D8"/>
    </w:rPr>
  </w:style>
  <w:style w:type="paragraph" w:styleId="Title">
    <w:name w:val="Title"/>
    <w:basedOn w:val="Normal"/>
    <w:next w:val="Normal"/>
    <w:link w:val="TitleChar"/>
    <w:uiPriority w:val="10"/>
    <w:qFormat/>
    <w:rsid w:val="0029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84E"/>
    <w:pPr>
      <w:spacing w:before="160"/>
      <w:jc w:val="center"/>
    </w:pPr>
    <w:rPr>
      <w:i/>
      <w:iCs/>
      <w:color w:val="404040" w:themeColor="text1" w:themeTint="BF"/>
    </w:rPr>
  </w:style>
  <w:style w:type="character" w:customStyle="1" w:styleId="QuoteChar">
    <w:name w:val="Quote Char"/>
    <w:basedOn w:val="DefaultParagraphFont"/>
    <w:link w:val="Quote"/>
    <w:uiPriority w:val="29"/>
    <w:rsid w:val="0029684E"/>
    <w:rPr>
      <w:i/>
      <w:iCs/>
      <w:color w:val="404040" w:themeColor="text1" w:themeTint="BF"/>
    </w:rPr>
  </w:style>
  <w:style w:type="paragraph" w:styleId="ListParagraph">
    <w:name w:val="List Paragraph"/>
    <w:basedOn w:val="Normal"/>
    <w:uiPriority w:val="34"/>
    <w:qFormat/>
    <w:rsid w:val="0029684E"/>
    <w:pPr>
      <w:ind w:left="720"/>
      <w:contextualSpacing/>
    </w:pPr>
  </w:style>
  <w:style w:type="character" w:styleId="IntenseEmphasis">
    <w:name w:val="Intense Emphasis"/>
    <w:basedOn w:val="DefaultParagraphFont"/>
    <w:uiPriority w:val="21"/>
    <w:qFormat/>
    <w:rsid w:val="0029684E"/>
    <w:rPr>
      <w:i/>
      <w:iCs/>
      <w:color w:val="2F5496" w:themeColor="accent1" w:themeShade="BF"/>
    </w:rPr>
  </w:style>
  <w:style w:type="paragraph" w:styleId="IntenseQuote">
    <w:name w:val="Intense Quote"/>
    <w:basedOn w:val="Normal"/>
    <w:next w:val="Normal"/>
    <w:link w:val="IntenseQuoteChar"/>
    <w:uiPriority w:val="30"/>
    <w:qFormat/>
    <w:rsid w:val="00296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84E"/>
    <w:rPr>
      <w:i/>
      <w:iCs/>
      <w:color w:val="2F5496" w:themeColor="accent1" w:themeShade="BF"/>
    </w:rPr>
  </w:style>
  <w:style w:type="character" w:styleId="IntenseReference">
    <w:name w:val="Intense Reference"/>
    <w:basedOn w:val="DefaultParagraphFont"/>
    <w:uiPriority w:val="32"/>
    <w:qFormat/>
    <w:rsid w:val="0029684E"/>
    <w:rPr>
      <w:b/>
      <w:bCs/>
      <w:smallCaps/>
      <w:color w:val="2F5496" w:themeColor="accent1" w:themeShade="BF"/>
      <w:spacing w:val="5"/>
    </w:rPr>
  </w:style>
  <w:style w:type="character" w:styleId="Hyperlink">
    <w:name w:val="Hyperlink"/>
    <w:basedOn w:val="DefaultParagraphFont"/>
    <w:uiPriority w:val="99"/>
    <w:unhideWhenUsed/>
    <w:rsid w:val="00DC4724"/>
    <w:rPr>
      <w:color w:val="0563C1" w:themeColor="hyperlink"/>
      <w:u w:val="single"/>
    </w:rPr>
  </w:style>
  <w:style w:type="character" w:styleId="UnresolvedMention">
    <w:name w:val="Unresolved Mention"/>
    <w:basedOn w:val="DefaultParagraphFont"/>
    <w:uiPriority w:val="99"/>
    <w:semiHidden/>
    <w:unhideWhenUsed/>
    <w:rsid w:val="00DC4724"/>
    <w:rPr>
      <w:color w:val="605E5C"/>
      <w:shd w:val="clear" w:color="auto" w:fill="E1DFDD"/>
    </w:rPr>
  </w:style>
  <w:style w:type="character" w:styleId="PlaceholderText">
    <w:name w:val="Placeholder Text"/>
    <w:basedOn w:val="DefaultParagraphFont"/>
    <w:uiPriority w:val="99"/>
    <w:semiHidden/>
    <w:rsid w:val="00E3000D"/>
    <w:rPr>
      <w:color w:val="666666"/>
    </w:rPr>
  </w:style>
  <w:style w:type="table" w:styleId="TableGrid">
    <w:name w:val="Table Grid"/>
    <w:basedOn w:val="TableNormal"/>
    <w:uiPriority w:val="39"/>
    <w:rsid w:val="000B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054">
      <w:bodyDiv w:val="1"/>
      <w:marLeft w:val="0"/>
      <w:marRight w:val="0"/>
      <w:marTop w:val="0"/>
      <w:marBottom w:val="0"/>
      <w:divBdr>
        <w:top w:val="none" w:sz="0" w:space="0" w:color="auto"/>
        <w:left w:val="none" w:sz="0" w:space="0" w:color="auto"/>
        <w:bottom w:val="none" w:sz="0" w:space="0" w:color="auto"/>
        <w:right w:val="none" w:sz="0" w:space="0" w:color="auto"/>
      </w:divBdr>
    </w:div>
    <w:div w:id="65080383">
      <w:bodyDiv w:val="1"/>
      <w:marLeft w:val="0"/>
      <w:marRight w:val="0"/>
      <w:marTop w:val="0"/>
      <w:marBottom w:val="0"/>
      <w:divBdr>
        <w:top w:val="none" w:sz="0" w:space="0" w:color="auto"/>
        <w:left w:val="none" w:sz="0" w:space="0" w:color="auto"/>
        <w:bottom w:val="none" w:sz="0" w:space="0" w:color="auto"/>
        <w:right w:val="none" w:sz="0" w:space="0" w:color="auto"/>
      </w:divBdr>
    </w:div>
    <w:div w:id="88354679">
      <w:bodyDiv w:val="1"/>
      <w:marLeft w:val="0"/>
      <w:marRight w:val="0"/>
      <w:marTop w:val="0"/>
      <w:marBottom w:val="0"/>
      <w:divBdr>
        <w:top w:val="none" w:sz="0" w:space="0" w:color="auto"/>
        <w:left w:val="none" w:sz="0" w:space="0" w:color="auto"/>
        <w:bottom w:val="none" w:sz="0" w:space="0" w:color="auto"/>
        <w:right w:val="none" w:sz="0" w:space="0" w:color="auto"/>
      </w:divBdr>
    </w:div>
    <w:div w:id="142502801">
      <w:bodyDiv w:val="1"/>
      <w:marLeft w:val="0"/>
      <w:marRight w:val="0"/>
      <w:marTop w:val="0"/>
      <w:marBottom w:val="0"/>
      <w:divBdr>
        <w:top w:val="none" w:sz="0" w:space="0" w:color="auto"/>
        <w:left w:val="none" w:sz="0" w:space="0" w:color="auto"/>
        <w:bottom w:val="none" w:sz="0" w:space="0" w:color="auto"/>
        <w:right w:val="none" w:sz="0" w:space="0" w:color="auto"/>
      </w:divBdr>
    </w:div>
    <w:div w:id="153420951">
      <w:bodyDiv w:val="1"/>
      <w:marLeft w:val="0"/>
      <w:marRight w:val="0"/>
      <w:marTop w:val="0"/>
      <w:marBottom w:val="0"/>
      <w:divBdr>
        <w:top w:val="none" w:sz="0" w:space="0" w:color="auto"/>
        <w:left w:val="none" w:sz="0" w:space="0" w:color="auto"/>
        <w:bottom w:val="none" w:sz="0" w:space="0" w:color="auto"/>
        <w:right w:val="none" w:sz="0" w:space="0" w:color="auto"/>
      </w:divBdr>
      <w:divsChild>
        <w:div w:id="1310591002">
          <w:marLeft w:val="0"/>
          <w:marRight w:val="0"/>
          <w:marTop w:val="0"/>
          <w:marBottom w:val="200"/>
          <w:divBdr>
            <w:top w:val="none" w:sz="0" w:space="0" w:color="auto"/>
            <w:left w:val="none" w:sz="0" w:space="0" w:color="auto"/>
            <w:bottom w:val="none" w:sz="0" w:space="0" w:color="auto"/>
            <w:right w:val="none" w:sz="0" w:space="0" w:color="auto"/>
          </w:divBdr>
        </w:div>
      </w:divsChild>
    </w:div>
    <w:div w:id="169637904">
      <w:bodyDiv w:val="1"/>
      <w:marLeft w:val="0"/>
      <w:marRight w:val="0"/>
      <w:marTop w:val="0"/>
      <w:marBottom w:val="0"/>
      <w:divBdr>
        <w:top w:val="none" w:sz="0" w:space="0" w:color="auto"/>
        <w:left w:val="none" w:sz="0" w:space="0" w:color="auto"/>
        <w:bottom w:val="none" w:sz="0" w:space="0" w:color="auto"/>
        <w:right w:val="none" w:sz="0" w:space="0" w:color="auto"/>
      </w:divBdr>
    </w:div>
    <w:div w:id="379791806">
      <w:bodyDiv w:val="1"/>
      <w:marLeft w:val="0"/>
      <w:marRight w:val="0"/>
      <w:marTop w:val="0"/>
      <w:marBottom w:val="0"/>
      <w:divBdr>
        <w:top w:val="none" w:sz="0" w:space="0" w:color="auto"/>
        <w:left w:val="none" w:sz="0" w:space="0" w:color="auto"/>
        <w:bottom w:val="none" w:sz="0" w:space="0" w:color="auto"/>
        <w:right w:val="none" w:sz="0" w:space="0" w:color="auto"/>
      </w:divBdr>
    </w:div>
    <w:div w:id="478887275">
      <w:bodyDiv w:val="1"/>
      <w:marLeft w:val="0"/>
      <w:marRight w:val="0"/>
      <w:marTop w:val="0"/>
      <w:marBottom w:val="0"/>
      <w:divBdr>
        <w:top w:val="none" w:sz="0" w:space="0" w:color="auto"/>
        <w:left w:val="none" w:sz="0" w:space="0" w:color="auto"/>
        <w:bottom w:val="none" w:sz="0" w:space="0" w:color="auto"/>
        <w:right w:val="none" w:sz="0" w:space="0" w:color="auto"/>
      </w:divBdr>
    </w:div>
    <w:div w:id="666639271">
      <w:bodyDiv w:val="1"/>
      <w:marLeft w:val="0"/>
      <w:marRight w:val="0"/>
      <w:marTop w:val="0"/>
      <w:marBottom w:val="0"/>
      <w:divBdr>
        <w:top w:val="none" w:sz="0" w:space="0" w:color="auto"/>
        <w:left w:val="none" w:sz="0" w:space="0" w:color="auto"/>
        <w:bottom w:val="none" w:sz="0" w:space="0" w:color="auto"/>
        <w:right w:val="none" w:sz="0" w:space="0" w:color="auto"/>
      </w:divBdr>
    </w:div>
    <w:div w:id="679478114">
      <w:bodyDiv w:val="1"/>
      <w:marLeft w:val="0"/>
      <w:marRight w:val="0"/>
      <w:marTop w:val="0"/>
      <w:marBottom w:val="0"/>
      <w:divBdr>
        <w:top w:val="none" w:sz="0" w:space="0" w:color="auto"/>
        <w:left w:val="none" w:sz="0" w:space="0" w:color="auto"/>
        <w:bottom w:val="none" w:sz="0" w:space="0" w:color="auto"/>
        <w:right w:val="none" w:sz="0" w:space="0" w:color="auto"/>
      </w:divBdr>
    </w:div>
    <w:div w:id="800465653">
      <w:bodyDiv w:val="1"/>
      <w:marLeft w:val="0"/>
      <w:marRight w:val="0"/>
      <w:marTop w:val="0"/>
      <w:marBottom w:val="0"/>
      <w:divBdr>
        <w:top w:val="none" w:sz="0" w:space="0" w:color="auto"/>
        <w:left w:val="none" w:sz="0" w:space="0" w:color="auto"/>
        <w:bottom w:val="none" w:sz="0" w:space="0" w:color="auto"/>
        <w:right w:val="none" w:sz="0" w:space="0" w:color="auto"/>
      </w:divBdr>
      <w:divsChild>
        <w:div w:id="741686091">
          <w:marLeft w:val="0"/>
          <w:marRight w:val="0"/>
          <w:marTop w:val="0"/>
          <w:marBottom w:val="200"/>
          <w:divBdr>
            <w:top w:val="none" w:sz="0" w:space="0" w:color="auto"/>
            <w:left w:val="none" w:sz="0" w:space="0" w:color="auto"/>
            <w:bottom w:val="none" w:sz="0" w:space="0" w:color="auto"/>
            <w:right w:val="none" w:sz="0" w:space="0" w:color="auto"/>
          </w:divBdr>
        </w:div>
      </w:divsChild>
    </w:div>
    <w:div w:id="913706056">
      <w:bodyDiv w:val="1"/>
      <w:marLeft w:val="0"/>
      <w:marRight w:val="0"/>
      <w:marTop w:val="0"/>
      <w:marBottom w:val="0"/>
      <w:divBdr>
        <w:top w:val="none" w:sz="0" w:space="0" w:color="auto"/>
        <w:left w:val="none" w:sz="0" w:space="0" w:color="auto"/>
        <w:bottom w:val="none" w:sz="0" w:space="0" w:color="auto"/>
        <w:right w:val="none" w:sz="0" w:space="0" w:color="auto"/>
      </w:divBdr>
    </w:div>
    <w:div w:id="1021972885">
      <w:bodyDiv w:val="1"/>
      <w:marLeft w:val="0"/>
      <w:marRight w:val="0"/>
      <w:marTop w:val="0"/>
      <w:marBottom w:val="0"/>
      <w:divBdr>
        <w:top w:val="none" w:sz="0" w:space="0" w:color="auto"/>
        <w:left w:val="none" w:sz="0" w:space="0" w:color="auto"/>
        <w:bottom w:val="none" w:sz="0" w:space="0" w:color="auto"/>
        <w:right w:val="none" w:sz="0" w:space="0" w:color="auto"/>
      </w:divBdr>
    </w:div>
    <w:div w:id="1030184615">
      <w:bodyDiv w:val="1"/>
      <w:marLeft w:val="0"/>
      <w:marRight w:val="0"/>
      <w:marTop w:val="0"/>
      <w:marBottom w:val="0"/>
      <w:divBdr>
        <w:top w:val="none" w:sz="0" w:space="0" w:color="auto"/>
        <w:left w:val="none" w:sz="0" w:space="0" w:color="auto"/>
        <w:bottom w:val="none" w:sz="0" w:space="0" w:color="auto"/>
        <w:right w:val="none" w:sz="0" w:space="0" w:color="auto"/>
      </w:divBdr>
      <w:divsChild>
        <w:div w:id="1555235587">
          <w:marLeft w:val="0"/>
          <w:marRight w:val="0"/>
          <w:marTop w:val="0"/>
          <w:marBottom w:val="200"/>
          <w:divBdr>
            <w:top w:val="none" w:sz="0" w:space="0" w:color="auto"/>
            <w:left w:val="none" w:sz="0" w:space="0" w:color="auto"/>
            <w:bottom w:val="none" w:sz="0" w:space="0" w:color="auto"/>
            <w:right w:val="none" w:sz="0" w:space="0" w:color="auto"/>
          </w:divBdr>
        </w:div>
      </w:divsChild>
    </w:div>
    <w:div w:id="1151872037">
      <w:bodyDiv w:val="1"/>
      <w:marLeft w:val="0"/>
      <w:marRight w:val="0"/>
      <w:marTop w:val="0"/>
      <w:marBottom w:val="0"/>
      <w:divBdr>
        <w:top w:val="none" w:sz="0" w:space="0" w:color="auto"/>
        <w:left w:val="none" w:sz="0" w:space="0" w:color="auto"/>
        <w:bottom w:val="none" w:sz="0" w:space="0" w:color="auto"/>
        <w:right w:val="none" w:sz="0" w:space="0" w:color="auto"/>
      </w:divBdr>
    </w:div>
    <w:div w:id="1180117200">
      <w:bodyDiv w:val="1"/>
      <w:marLeft w:val="0"/>
      <w:marRight w:val="0"/>
      <w:marTop w:val="0"/>
      <w:marBottom w:val="0"/>
      <w:divBdr>
        <w:top w:val="none" w:sz="0" w:space="0" w:color="auto"/>
        <w:left w:val="none" w:sz="0" w:space="0" w:color="auto"/>
        <w:bottom w:val="none" w:sz="0" w:space="0" w:color="auto"/>
        <w:right w:val="none" w:sz="0" w:space="0" w:color="auto"/>
      </w:divBdr>
      <w:divsChild>
        <w:div w:id="307783838">
          <w:marLeft w:val="0"/>
          <w:marRight w:val="0"/>
          <w:marTop w:val="0"/>
          <w:marBottom w:val="0"/>
          <w:divBdr>
            <w:top w:val="none" w:sz="0" w:space="0" w:color="auto"/>
            <w:left w:val="none" w:sz="0" w:space="0" w:color="auto"/>
            <w:bottom w:val="none" w:sz="0" w:space="0" w:color="auto"/>
            <w:right w:val="none" w:sz="0" w:space="0" w:color="auto"/>
          </w:divBdr>
          <w:divsChild>
            <w:div w:id="380599405">
              <w:marLeft w:val="0"/>
              <w:marRight w:val="0"/>
              <w:marTop w:val="0"/>
              <w:marBottom w:val="0"/>
              <w:divBdr>
                <w:top w:val="none" w:sz="0" w:space="0" w:color="auto"/>
                <w:left w:val="none" w:sz="0" w:space="0" w:color="auto"/>
                <w:bottom w:val="none" w:sz="0" w:space="0" w:color="auto"/>
                <w:right w:val="none" w:sz="0" w:space="0" w:color="auto"/>
              </w:divBdr>
            </w:div>
          </w:divsChild>
        </w:div>
        <w:div w:id="1121413691">
          <w:marLeft w:val="0"/>
          <w:marRight w:val="0"/>
          <w:marTop w:val="0"/>
          <w:marBottom w:val="0"/>
          <w:divBdr>
            <w:top w:val="none" w:sz="0" w:space="0" w:color="auto"/>
            <w:left w:val="none" w:sz="0" w:space="0" w:color="auto"/>
            <w:bottom w:val="none" w:sz="0" w:space="0" w:color="auto"/>
            <w:right w:val="none" w:sz="0" w:space="0" w:color="auto"/>
          </w:divBdr>
          <w:divsChild>
            <w:div w:id="573854441">
              <w:marLeft w:val="0"/>
              <w:marRight w:val="0"/>
              <w:marTop w:val="0"/>
              <w:marBottom w:val="0"/>
              <w:divBdr>
                <w:top w:val="none" w:sz="0" w:space="0" w:color="auto"/>
                <w:left w:val="none" w:sz="0" w:space="0" w:color="auto"/>
                <w:bottom w:val="none" w:sz="0" w:space="0" w:color="auto"/>
                <w:right w:val="none" w:sz="0" w:space="0" w:color="auto"/>
              </w:divBdr>
            </w:div>
          </w:divsChild>
        </w:div>
        <w:div w:id="1007366112">
          <w:marLeft w:val="0"/>
          <w:marRight w:val="0"/>
          <w:marTop w:val="0"/>
          <w:marBottom w:val="0"/>
          <w:divBdr>
            <w:top w:val="none" w:sz="0" w:space="0" w:color="auto"/>
            <w:left w:val="none" w:sz="0" w:space="0" w:color="auto"/>
            <w:bottom w:val="none" w:sz="0" w:space="0" w:color="auto"/>
            <w:right w:val="none" w:sz="0" w:space="0" w:color="auto"/>
          </w:divBdr>
          <w:divsChild>
            <w:div w:id="14736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7462">
      <w:bodyDiv w:val="1"/>
      <w:marLeft w:val="0"/>
      <w:marRight w:val="0"/>
      <w:marTop w:val="0"/>
      <w:marBottom w:val="0"/>
      <w:divBdr>
        <w:top w:val="none" w:sz="0" w:space="0" w:color="auto"/>
        <w:left w:val="none" w:sz="0" w:space="0" w:color="auto"/>
        <w:bottom w:val="none" w:sz="0" w:space="0" w:color="auto"/>
        <w:right w:val="none" w:sz="0" w:space="0" w:color="auto"/>
      </w:divBdr>
    </w:div>
    <w:div w:id="1242519514">
      <w:bodyDiv w:val="1"/>
      <w:marLeft w:val="0"/>
      <w:marRight w:val="0"/>
      <w:marTop w:val="0"/>
      <w:marBottom w:val="0"/>
      <w:divBdr>
        <w:top w:val="none" w:sz="0" w:space="0" w:color="auto"/>
        <w:left w:val="none" w:sz="0" w:space="0" w:color="auto"/>
        <w:bottom w:val="none" w:sz="0" w:space="0" w:color="auto"/>
        <w:right w:val="none" w:sz="0" w:space="0" w:color="auto"/>
      </w:divBdr>
    </w:div>
    <w:div w:id="1348629846">
      <w:bodyDiv w:val="1"/>
      <w:marLeft w:val="0"/>
      <w:marRight w:val="0"/>
      <w:marTop w:val="0"/>
      <w:marBottom w:val="0"/>
      <w:divBdr>
        <w:top w:val="none" w:sz="0" w:space="0" w:color="auto"/>
        <w:left w:val="none" w:sz="0" w:space="0" w:color="auto"/>
        <w:bottom w:val="none" w:sz="0" w:space="0" w:color="auto"/>
        <w:right w:val="none" w:sz="0" w:space="0" w:color="auto"/>
      </w:divBdr>
    </w:div>
    <w:div w:id="1399741763">
      <w:bodyDiv w:val="1"/>
      <w:marLeft w:val="0"/>
      <w:marRight w:val="0"/>
      <w:marTop w:val="0"/>
      <w:marBottom w:val="0"/>
      <w:divBdr>
        <w:top w:val="none" w:sz="0" w:space="0" w:color="auto"/>
        <w:left w:val="none" w:sz="0" w:space="0" w:color="auto"/>
        <w:bottom w:val="none" w:sz="0" w:space="0" w:color="auto"/>
        <w:right w:val="none" w:sz="0" w:space="0" w:color="auto"/>
      </w:divBdr>
    </w:div>
    <w:div w:id="1494446231">
      <w:bodyDiv w:val="1"/>
      <w:marLeft w:val="0"/>
      <w:marRight w:val="0"/>
      <w:marTop w:val="0"/>
      <w:marBottom w:val="0"/>
      <w:divBdr>
        <w:top w:val="none" w:sz="0" w:space="0" w:color="auto"/>
        <w:left w:val="none" w:sz="0" w:space="0" w:color="auto"/>
        <w:bottom w:val="none" w:sz="0" w:space="0" w:color="auto"/>
        <w:right w:val="none" w:sz="0" w:space="0" w:color="auto"/>
      </w:divBdr>
      <w:divsChild>
        <w:div w:id="591357456">
          <w:marLeft w:val="0"/>
          <w:marRight w:val="0"/>
          <w:marTop w:val="0"/>
          <w:marBottom w:val="200"/>
          <w:divBdr>
            <w:top w:val="none" w:sz="0" w:space="0" w:color="auto"/>
            <w:left w:val="none" w:sz="0" w:space="0" w:color="auto"/>
            <w:bottom w:val="none" w:sz="0" w:space="0" w:color="auto"/>
            <w:right w:val="none" w:sz="0" w:space="0" w:color="auto"/>
          </w:divBdr>
        </w:div>
      </w:divsChild>
    </w:div>
    <w:div w:id="1522352158">
      <w:bodyDiv w:val="1"/>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200"/>
          <w:divBdr>
            <w:top w:val="none" w:sz="0" w:space="0" w:color="auto"/>
            <w:left w:val="none" w:sz="0" w:space="0" w:color="auto"/>
            <w:bottom w:val="none" w:sz="0" w:space="0" w:color="auto"/>
            <w:right w:val="none" w:sz="0" w:space="0" w:color="auto"/>
          </w:divBdr>
        </w:div>
      </w:divsChild>
    </w:div>
    <w:div w:id="1605304582">
      <w:bodyDiv w:val="1"/>
      <w:marLeft w:val="0"/>
      <w:marRight w:val="0"/>
      <w:marTop w:val="0"/>
      <w:marBottom w:val="0"/>
      <w:divBdr>
        <w:top w:val="none" w:sz="0" w:space="0" w:color="auto"/>
        <w:left w:val="none" w:sz="0" w:space="0" w:color="auto"/>
        <w:bottom w:val="none" w:sz="0" w:space="0" w:color="auto"/>
        <w:right w:val="none" w:sz="0" w:space="0" w:color="auto"/>
      </w:divBdr>
    </w:div>
    <w:div w:id="1642034488">
      <w:bodyDiv w:val="1"/>
      <w:marLeft w:val="0"/>
      <w:marRight w:val="0"/>
      <w:marTop w:val="0"/>
      <w:marBottom w:val="0"/>
      <w:divBdr>
        <w:top w:val="none" w:sz="0" w:space="0" w:color="auto"/>
        <w:left w:val="none" w:sz="0" w:space="0" w:color="auto"/>
        <w:bottom w:val="none" w:sz="0" w:space="0" w:color="auto"/>
        <w:right w:val="none" w:sz="0" w:space="0" w:color="auto"/>
      </w:divBdr>
    </w:div>
    <w:div w:id="1675061543">
      <w:bodyDiv w:val="1"/>
      <w:marLeft w:val="0"/>
      <w:marRight w:val="0"/>
      <w:marTop w:val="0"/>
      <w:marBottom w:val="0"/>
      <w:divBdr>
        <w:top w:val="none" w:sz="0" w:space="0" w:color="auto"/>
        <w:left w:val="none" w:sz="0" w:space="0" w:color="auto"/>
        <w:bottom w:val="none" w:sz="0" w:space="0" w:color="auto"/>
        <w:right w:val="none" w:sz="0" w:space="0" w:color="auto"/>
      </w:divBdr>
    </w:div>
    <w:div w:id="1780370377">
      <w:bodyDiv w:val="1"/>
      <w:marLeft w:val="0"/>
      <w:marRight w:val="0"/>
      <w:marTop w:val="0"/>
      <w:marBottom w:val="0"/>
      <w:divBdr>
        <w:top w:val="none" w:sz="0" w:space="0" w:color="auto"/>
        <w:left w:val="none" w:sz="0" w:space="0" w:color="auto"/>
        <w:bottom w:val="none" w:sz="0" w:space="0" w:color="auto"/>
        <w:right w:val="none" w:sz="0" w:space="0" w:color="auto"/>
      </w:divBdr>
    </w:div>
    <w:div w:id="1796216664">
      <w:bodyDiv w:val="1"/>
      <w:marLeft w:val="0"/>
      <w:marRight w:val="0"/>
      <w:marTop w:val="0"/>
      <w:marBottom w:val="0"/>
      <w:divBdr>
        <w:top w:val="none" w:sz="0" w:space="0" w:color="auto"/>
        <w:left w:val="none" w:sz="0" w:space="0" w:color="auto"/>
        <w:bottom w:val="none" w:sz="0" w:space="0" w:color="auto"/>
        <w:right w:val="none" w:sz="0" w:space="0" w:color="auto"/>
      </w:divBdr>
    </w:div>
    <w:div w:id="1830291802">
      <w:bodyDiv w:val="1"/>
      <w:marLeft w:val="0"/>
      <w:marRight w:val="0"/>
      <w:marTop w:val="0"/>
      <w:marBottom w:val="0"/>
      <w:divBdr>
        <w:top w:val="none" w:sz="0" w:space="0" w:color="auto"/>
        <w:left w:val="none" w:sz="0" w:space="0" w:color="auto"/>
        <w:bottom w:val="none" w:sz="0" w:space="0" w:color="auto"/>
        <w:right w:val="none" w:sz="0" w:space="0" w:color="auto"/>
      </w:divBdr>
    </w:div>
    <w:div w:id="1907107792">
      <w:bodyDiv w:val="1"/>
      <w:marLeft w:val="0"/>
      <w:marRight w:val="0"/>
      <w:marTop w:val="0"/>
      <w:marBottom w:val="0"/>
      <w:divBdr>
        <w:top w:val="none" w:sz="0" w:space="0" w:color="auto"/>
        <w:left w:val="none" w:sz="0" w:space="0" w:color="auto"/>
        <w:bottom w:val="none" w:sz="0" w:space="0" w:color="auto"/>
        <w:right w:val="none" w:sz="0" w:space="0" w:color="auto"/>
      </w:divBdr>
      <w:divsChild>
        <w:div w:id="575941488">
          <w:marLeft w:val="0"/>
          <w:marRight w:val="0"/>
          <w:marTop w:val="0"/>
          <w:marBottom w:val="0"/>
          <w:divBdr>
            <w:top w:val="none" w:sz="0" w:space="0" w:color="auto"/>
            <w:left w:val="none" w:sz="0" w:space="0" w:color="auto"/>
            <w:bottom w:val="none" w:sz="0" w:space="0" w:color="auto"/>
            <w:right w:val="none" w:sz="0" w:space="0" w:color="auto"/>
          </w:divBdr>
          <w:divsChild>
            <w:div w:id="585727139">
              <w:marLeft w:val="0"/>
              <w:marRight w:val="0"/>
              <w:marTop w:val="0"/>
              <w:marBottom w:val="0"/>
              <w:divBdr>
                <w:top w:val="none" w:sz="0" w:space="0" w:color="auto"/>
                <w:left w:val="none" w:sz="0" w:space="0" w:color="auto"/>
                <w:bottom w:val="none" w:sz="0" w:space="0" w:color="auto"/>
                <w:right w:val="none" w:sz="0" w:space="0" w:color="auto"/>
              </w:divBdr>
            </w:div>
          </w:divsChild>
        </w:div>
        <w:div w:id="1100377007">
          <w:marLeft w:val="0"/>
          <w:marRight w:val="0"/>
          <w:marTop w:val="0"/>
          <w:marBottom w:val="0"/>
          <w:divBdr>
            <w:top w:val="none" w:sz="0" w:space="0" w:color="auto"/>
            <w:left w:val="none" w:sz="0" w:space="0" w:color="auto"/>
            <w:bottom w:val="none" w:sz="0" w:space="0" w:color="auto"/>
            <w:right w:val="none" w:sz="0" w:space="0" w:color="auto"/>
          </w:divBdr>
          <w:divsChild>
            <w:div w:id="1208882503">
              <w:marLeft w:val="0"/>
              <w:marRight w:val="0"/>
              <w:marTop w:val="0"/>
              <w:marBottom w:val="0"/>
              <w:divBdr>
                <w:top w:val="none" w:sz="0" w:space="0" w:color="auto"/>
                <w:left w:val="none" w:sz="0" w:space="0" w:color="auto"/>
                <w:bottom w:val="none" w:sz="0" w:space="0" w:color="auto"/>
                <w:right w:val="none" w:sz="0" w:space="0" w:color="auto"/>
              </w:divBdr>
            </w:div>
          </w:divsChild>
        </w:div>
        <w:div w:id="587733377">
          <w:marLeft w:val="0"/>
          <w:marRight w:val="0"/>
          <w:marTop w:val="0"/>
          <w:marBottom w:val="0"/>
          <w:divBdr>
            <w:top w:val="none" w:sz="0" w:space="0" w:color="auto"/>
            <w:left w:val="none" w:sz="0" w:space="0" w:color="auto"/>
            <w:bottom w:val="none" w:sz="0" w:space="0" w:color="auto"/>
            <w:right w:val="none" w:sz="0" w:space="0" w:color="auto"/>
          </w:divBdr>
          <w:divsChild>
            <w:div w:id="3617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839">
      <w:bodyDiv w:val="1"/>
      <w:marLeft w:val="0"/>
      <w:marRight w:val="0"/>
      <w:marTop w:val="0"/>
      <w:marBottom w:val="0"/>
      <w:divBdr>
        <w:top w:val="none" w:sz="0" w:space="0" w:color="auto"/>
        <w:left w:val="none" w:sz="0" w:space="0" w:color="auto"/>
        <w:bottom w:val="none" w:sz="0" w:space="0" w:color="auto"/>
        <w:right w:val="none" w:sz="0" w:space="0" w:color="auto"/>
      </w:divBdr>
    </w:div>
    <w:div w:id="1965194457">
      <w:bodyDiv w:val="1"/>
      <w:marLeft w:val="0"/>
      <w:marRight w:val="0"/>
      <w:marTop w:val="0"/>
      <w:marBottom w:val="0"/>
      <w:divBdr>
        <w:top w:val="none" w:sz="0" w:space="0" w:color="auto"/>
        <w:left w:val="none" w:sz="0" w:space="0" w:color="auto"/>
        <w:bottom w:val="none" w:sz="0" w:space="0" w:color="auto"/>
        <w:right w:val="none" w:sz="0" w:space="0" w:color="auto"/>
      </w:divBdr>
    </w:div>
    <w:div w:id="1993681491">
      <w:bodyDiv w:val="1"/>
      <w:marLeft w:val="0"/>
      <w:marRight w:val="0"/>
      <w:marTop w:val="0"/>
      <w:marBottom w:val="0"/>
      <w:divBdr>
        <w:top w:val="none" w:sz="0" w:space="0" w:color="auto"/>
        <w:left w:val="none" w:sz="0" w:space="0" w:color="auto"/>
        <w:bottom w:val="none" w:sz="0" w:space="0" w:color="auto"/>
        <w:right w:val="none" w:sz="0" w:space="0" w:color="auto"/>
      </w:divBdr>
    </w:div>
    <w:div w:id="2134638855">
      <w:bodyDiv w:val="1"/>
      <w:marLeft w:val="0"/>
      <w:marRight w:val="0"/>
      <w:marTop w:val="0"/>
      <w:marBottom w:val="0"/>
      <w:divBdr>
        <w:top w:val="none" w:sz="0" w:space="0" w:color="auto"/>
        <w:left w:val="none" w:sz="0" w:space="0" w:color="auto"/>
        <w:bottom w:val="none" w:sz="0" w:space="0" w:color="auto"/>
        <w:right w:val="none" w:sz="0" w:space="0" w:color="auto"/>
      </w:divBdr>
      <w:divsChild>
        <w:div w:id="208845211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irefs.2019.12.004" TargetMode="External"/><Relationship Id="rId18" Type="http://schemas.openxmlformats.org/officeDocument/2006/relationships/hyperlink" Target="https://economics.fiu.edu/research/working-papers/2021/2108/2108.pdf" TargetMode="External"/><Relationship Id="rId26" Type="http://schemas.openxmlformats.org/officeDocument/2006/relationships/hyperlink" Target="https://doi.org/10.21477/fil.2019.1057" TargetMode="External"/><Relationship Id="rId3" Type="http://schemas.openxmlformats.org/officeDocument/2006/relationships/settings" Target="settings.xml"/><Relationship Id="rId21" Type="http://schemas.openxmlformats.org/officeDocument/2006/relationships/hyperlink" Target="https://doi.org/10.1016/j.apjr.2022.03.006" TargetMode="External"/><Relationship Id="rId7" Type="http://schemas.openxmlformats.org/officeDocument/2006/relationships/image" Target="media/image2.png"/><Relationship Id="rId12" Type="http://schemas.openxmlformats.org/officeDocument/2006/relationships/hyperlink" Target="https://doi.org/10.1108/JRF-09-2021-0071" TargetMode="External"/><Relationship Id="rId17" Type="http://schemas.openxmlformats.org/officeDocument/2006/relationships/hyperlink" Target="https://doi.org/10.1007/s10834-020-09562-w" TargetMode="External"/><Relationship Id="rId25" Type="http://schemas.openxmlformats.org/officeDocument/2006/relationships/hyperlink" Target="https://doi.org/10.1016/j.ijfie.2021.05.002" TargetMode="External"/><Relationship Id="rId2" Type="http://schemas.openxmlformats.org/officeDocument/2006/relationships/styles" Target="styles.xml"/><Relationship Id="rId16" Type="http://schemas.openxmlformats.org/officeDocument/2006/relationships/hyperlink" Target="https://doi.org/10.1142/S2345715721500119" TargetMode="External"/><Relationship Id="rId20" Type="http://schemas.openxmlformats.org/officeDocument/2006/relationships/hyperlink" Target="https://doi.org/10.1080/15228916.2021.1953439" TargetMode="External"/><Relationship Id="rId29" Type="http://schemas.openxmlformats.org/officeDocument/2006/relationships/hyperlink" Target="https://doi.org/10.21467/ajrf.2021.015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77/0007650320954069" TargetMode="External"/><Relationship Id="rId24" Type="http://schemas.openxmlformats.org/officeDocument/2006/relationships/hyperlink" Target="https://doi.org/10.1145/3059654" TargetMode="External"/><Relationship Id="rId5" Type="http://schemas.openxmlformats.org/officeDocument/2006/relationships/hyperlink" Target="mailto:amrithoro06@gmail.com" TargetMode="External"/><Relationship Id="rId15" Type="http://schemas.openxmlformats.org/officeDocument/2006/relationships/hyperlink" Target="https://doi.org/10.1057/s41287-023-00585-x" TargetMode="External"/><Relationship Id="rId23" Type="http://schemas.openxmlformats.org/officeDocument/2006/relationships/hyperlink" Target="https://www.adb.org/publications/digital-doorstep-banking-female-banking-agents-lead-digital-financial-inclusion-through-the-pandemic-and-beyond" TargetMode="External"/><Relationship Id="rId28" Type="http://schemas.openxmlformats.org/officeDocument/2006/relationships/hyperlink" Target="https://doi.org/10.1177/0975542920905426" TargetMode="External"/><Relationship Id="rId10" Type="http://schemas.openxmlformats.org/officeDocument/2006/relationships/hyperlink" Target="https://doi.org/10.1080/089336739.2021.1872212" TargetMode="External"/><Relationship Id="rId19" Type="http://schemas.openxmlformats.org/officeDocument/2006/relationships/hyperlink" Target="https://doi.org/10.1016/j.jfe.2019.03.0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ef.2020.04.002" TargetMode="External"/><Relationship Id="rId14" Type="http://schemas.openxmlformats.org/officeDocument/2006/relationships/hyperlink" Target="https://doi.org/10.1111/aepr.12252" TargetMode="External"/><Relationship Id="rId22" Type="http://schemas.openxmlformats.org/officeDocument/2006/relationships/hyperlink" Target="https://doi.org/10.1080/23811972.2020.1825541" TargetMode="External"/><Relationship Id="rId27" Type="http://schemas.openxmlformats.org/officeDocument/2006/relationships/hyperlink" Target="https://doi.org/10.1016/j.trd.2022.05.0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Indhu Kavi</dc:creator>
  <cp:keywords/>
  <dc:description/>
  <cp:lastModifiedBy>Naveen Horo</cp:lastModifiedBy>
  <cp:revision>2</cp:revision>
  <dcterms:created xsi:type="dcterms:W3CDTF">2025-07-30T10:45:00Z</dcterms:created>
  <dcterms:modified xsi:type="dcterms:W3CDTF">2025-07-30T10:45:00Z</dcterms:modified>
</cp:coreProperties>
</file>