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AF5996" w:rsidRDefault="00083456">
      <w:pPr>
        <w:spacing w:after="12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Netflix Italia and the Decision of the Court of Rome: Evaluating the “Justified Reason” Requirement as a Condition for the Enforceability of Price Variation Clauses in Digital Adhesion Contracts and Lessons for Nigeria</w:t>
      </w:r>
    </w:p>
    <w:p w14:paraId="00000002" w14:textId="77777777" w:rsidR="00AF5996" w:rsidRDefault="00AF5996">
      <w:pPr>
        <w:spacing w:after="120"/>
        <w:jc w:val="center"/>
        <w:rPr>
          <w:rFonts w:ascii="Times New Roman" w:eastAsia="Times New Roman" w:hAnsi="Times New Roman" w:cs="Times New Roman"/>
          <w:b/>
          <w:bCs/>
          <w:i/>
          <w:iCs/>
          <w:sz w:val="24"/>
          <w:szCs w:val="24"/>
        </w:rPr>
      </w:pPr>
    </w:p>
    <w:p w14:paraId="00000003" w14:textId="3FFD42D3" w:rsidR="00AF5996" w:rsidRPr="0074114D" w:rsidRDefault="0074114D">
      <w:pPr>
        <w:spacing w:after="120" w:line="360" w:lineRule="auto"/>
        <w:jc w:val="center"/>
        <w:rPr>
          <w:rFonts w:ascii="Times New Roman" w:eastAsia="Times New Roman" w:hAnsi="Times New Roman" w:cs="Times New Roman"/>
          <w:b/>
          <w:bCs/>
          <w:iCs/>
          <w:sz w:val="24"/>
          <w:szCs w:val="24"/>
          <w:vertAlign w:val="superscript"/>
        </w:rPr>
        <w:sectPr w:rsidR="00AF5996" w:rsidRPr="0074114D">
          <w:headerReference w:type="default" r:id="rId8"/>
          <w:footerReference w:type="default" r:id="rId9"/>
          <w:footnotePr>
            <w:numFmt w:val="chicago"/>
            <w:numRestart w:val="eachSect"/>
          </w:footnotePr>
          <w:pgSz w:w="11906" w:h="16838"/>
          <w:pgMar w:top="990" w:right="1440" w:bottom="900" w:left="1440" w:header="0" w:footer="220" w:gutter="0"/>
          <w:pgNumType w:start="1"/>
          <w:cols w:space="720"/>
        </w:sectPr>
      </w:pPr>
      <w:r>
        <w:rPr>
          <w:rFonts w:ascii="Times New Roman" w:eastAsia="Times New Roman" w:hAnsi="Times New Roman" w:cs="Times New Roman"/>
          <w:b/>
          <w:bCs/>
          <w:i/>
          <w:iCs/>
          <w:sz w:val="24"/>
          <w:szCs w:val="24"/>
        </w:rPr>
        <w:t xml:space="preserve"/>
      </w:r>
      <w:proofErr w:type="spellStart"/>
      <w:r>
        <w:rPr>
          <w:rFonts w:ascii="Times New Roman" w:eastAsia="Times New Roman" w:hAnsi="Times New Roman" w:cs="Times New Roman"/>
          <w:b/>
          <w:bCs/>
          <w:i/>
          <w:iCs/>
          <w:sz w:val="24"/>
          <w:szCs w:val="24"/>
        </w:rPr>
        <w:t/>
      </w:r>
      <w:proofErr w:type="spellEnd"/>
      <w:r>
        <w:rPr>
          <w:rFonts w:ascii="Times New Roman" w:eastAsia="Times New Roman" w:hAnsi="Times New Roman" w:cs="Times New Roman"/>
          <w:b/>
          <w:bCs/>
          <w:i/>
          <w:iCs/>
          <w:sz w:val="24"/>
          <w:szCs w:val="24"/>
        </w:rPr>
        <w:t xml:space="preserve"/>
      </w:r>
      <w:proofErr w:type="spellStart"/>
      <w:r>
        <w:rPr>
          <w:rFonts w:ascii="Times New Roman" w:eastAsia="Times New Roman" w:hAnsi="Times New Roman" w:cs="Times New Roman"/>
          <w:b/>
          <w:bCs/>
          <w:i/>
          <w:iCs/>
          <w:sz w:val="24"/>
          <w:szCs w:val="24"/>
        </w:rPr>
        <w:t/>
      </w:r>
      <w:r w:rsidRPr="0074114D">
        <w:rPr>
          <w:rFonts w:ascii="Times New Roman" w:eastAsia="Times New Roman" w:hAnsi="Times New Roman" w:cs="Times New Roman"/>
          <w:b/>
          <w:bCs/>
          <w:i/>
          <w:iCs/>
          <w:sz w:val="24"/>
          <w:szCs w:val="24"/>
        </w:rPr>
        <w:t/>
      </w:r>
      <w:proofErr w:type="spellEnd"/>
      <w:r>
        <w:rPr>
          <w:rStyle w:val="FootnoteReference"/>
          <w:rFonts w:ascii="Times New Roman" w:eastAsia="Times New Roman" w:hAnsi="Times New Roman" w:cs="Times New Roman"/>
          <w:b/>
          <w:bCs/>
          <w:iCs/>
          <w:sz w:val="24"/>
          <w:szCs w:val="24"/>
        </w:rPr>
        <w:footnoteReference w:id="1"/>
      </w:r>
    </w:p>
    <w:p w14:paraId="00000005" w14:textId="77777777" w:rsidR="00AF5996" w:rsidRDefault="00083456">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6" w14:textId="77777777" w:rsidR="00AF5996" w:rsidRDefault="0008345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21st Century has witnessed an unprecedented proliferation of digital services, fundamentally reshaping the global commercial landscape and embedding online platforms into the fabric of daily life. Within this hyper-connected ecosystem, the routine clic</w:t>
      </w:r>
      <w:r>
        <w:rPr>
          <w:rFonts w:ascii="Times New Roman" w:eastAsia="Times New Roman" w:hAnsi="Times New Roman" w:cs="Times New Roman"/>
          <w:sz w:val="24"/>
          <w:szCs w:val="24"/>
        </w:rPr>
        <w:t>king of electronic buttons has quietly replaced traditional bilateral negotiations for millions of online users, serving as the primary means for entering into digital contracts. Digital services providers massively deploy these contracts to boost operatio</w:t>
      </w:r>
      <w:r>
        <w:rPr>
          <w:rFonts w:ascii="Times New Roman" w:eastAsia="Times New Roman" w:hAnsi="Times New Roman" w:cs="Times New Roman"/>
          <w:sz w:val="24"/>
          <w:szCs w:val="24"/>
        </w:rPr>
        <w:t>nal efficiency under uniform conditions, reduce transaction costs, facilitate rapid scaling, and allocate global market risks. Grounded in this reality, this study examined the legal validity of these Digital adhesion contracts, balancing commercial effici</w:t>
      </w:r>
      <w:r>
        <w:rPr>
          <w:rFonts w:ascii="Times New Roman" w:eastAsia="Times New Roman" w:hAnsi="Times New Roman" w:cs="Times New Roman"/>
          <w:sz w:val="24"/>
          <w:szCs w:val="24"/>
        </w:rPr>
        <w:t xml:space="preserve">ency against substantive consumer protection. This study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the landmark decision of the Civil Court of Rome in the </w:t>
      </w:r>
      <w:r>
        <w:rPr>
          <w:rFonts w:ascii="Times New Roman" w:eastAsia="Times New Roman" w:hAnsi="Times New Roman" w:cs="Times New Roman"/>
          <w:i/>
          <w:iCs/>
          <w:sz w:val="24"/>
          <w:szCs w:val="24"/>
        </w:rPr>
        <w:t>Netflix Italia</w:t>
      </w:r>
      <w:r>
        <w:rPr>
          <w:rFonts w:ascii="Times New Roman" w:eastAsia="Times New Roman" w:hAnsi="Times New Roman" w:cs="Times New Roman"/>
          <w:sz w:val="24"/>
          <w:szCs w:val="24"/>
        </w:rPr>
        <w:t xml:space="preserve"> case, evaluating the concept of justified reason and the functional necessity of the justified reason requirement in pr</w:t>
      </w:r>
      <w:r>
        <w:rPr>
          <w:rFonts w:ascii="Times New Roman" w:eastAsia="Times New Roman" w:hAnsi="Times New Roman" w:cs="Times New Roman"/>
          <w:sz w:val="24"/>
          <w:szCs w:val="24"/>
        </w:rPr>
        <w:t>eventing service providers from making arbitrary, unilateral price changes. Furthermore, this study investigated the current Nigerian regulatory landscape under the Federal Competition and Consumer Protection Act 2018, revealing a critical regulatory lacun</w:t>
      </w:r>
      <w:r>
        <w:rPr>
          <w:rFonts w:ascii="Times New Roman" w:eastAsia="Times New Roman" w:hAnsi="Times New Roman" w:cs="Times New Roman"/>
          <w:sz w:val="24"/>
          <w:szCs w:val="24"/>
        </w:rPr>
        <w:t xml:space="preserve">a left by the omission of an explicit justified reason provision and mandatory notification frameworks. Through an assessment of recent pricing hikes from Spotify, Netflix, and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this study demonstrated how the existing statutory silence has lef</w:t>
      </w:r>
      <w:r>
        <w:rPr>
          <w:rFonts w:ascii="Times New Roman" w:eastAsia="Times New Roman" w:hAnsi="Times New Roman" w:cs="Times New Roman"/>
          <w:sz w:val="24"/>
          <w:szCs w:val="24"/>
        </w:rPr>
        <w:t xml:space="preserve">t domestic consumers highly vulnerable to corporate exploitation. To bridge these gaps, this study recommended a comprehensive regulatory overhaul anchored on a series of strategic interventions. Central to this framework is the formal codification of the </w:t>
      </w:r>
      <w:r>
        <w:rPr>
          <w:rFonts w:ascii="Times New Roman" w:eastAsia="Times New Roman" w:hAnsi="Times New Roman" w:cs="Times New Roman"/>
          <w:sz w:val="24"/>
          <w:szCs w:val="24"/>
        </w:rPr>
        <w:t xml:space="preserve">justified reason doctrine, either through direct statutory amendments or </w:t>
      </w:r>
      <w:proofErr w:type="spellStart"/>
      <w:r>
        <w:rPr>
          <w:rFonts w:ascii="Times New Roman" w:eastAsia="Times New Roman" w:hAnsi="Times New Roman" w:cs="Times New Roman"/>
          <w:sz w:val="24"/>
          <w:szCs w:val="24"/>
        </w:rPr>
        <w:t>specialised</w:t>
      </w:r>
      <w:proofErr w:type="spellEnd"/>
      <w:r>
        <w:rPr>
          <w:rFonts w:ascii="Times New Roman" w:eastAsia="Times New Roman" w:hAnsi="Times New Roman" w:cs="Times New Roman"/>
          <w:sz w:val="24"/>
          <w:szCs w:val="24"/>
        </w:rPr>
        <w:t xml:space="preserve"> regulatory guidelines, the introduction of contractual black and grey lists paired with strict transparency mandates, alongside a transition towards proactive oversight fa</w:t>
      </w:r>
      <w:r>
        <w:rPr>
          <w:rFonts w:ascii="Times New Roman" w:eastAsia="Times New Roman" w:hAnsi="Times New Roman" w:cs="Times New Roman"/>
          <w:sz w:val="24"/>
          <w:szCs w:val="24"/>
        </w:rPr>
        <w:t xml:space="preserve">cilitated by a </w:t>
      </w:r>
      <w:proofErr w:type="spellStart"/>
      <w:r>
        <w:rPr>
          <w:rFonts w:ascii="Times New Roman" w:eastAsia="Times New Roman" w:hAnsi="Times New Roman" w:cs="Times New Roman"/>
          <w:sz w:val="24"/>
          <w:szCs w:val="24"/>
        </w:rPr>
        <w:t>centralised</w:t>
      </w:r>
      <w:proofErr w:type="spellEnd"/>
      <w:r>
        <w:rPr>
          <w:rFonts w:ascii="Times New Roman" w:eastAsia="Times New Roman" w:hAnsi="Times New Roman" w:cs="Times New Roman"/>
          <w:sz w:val="24"/>
          <w:szCs w:val="24"/>
        </w:rPr>
        <w:t xml:space="preserve"> Contractual Registry and a mandatory pre-notification compliance regime, introduction of a consumer-centric online dispute resolution and arbitral mechanism and a nationwide digital literacy and consumer awareness campaigns aimed</w:t>
      </w:r>
      <w:r>
        <w:rPr>
          <w:rFonts w:ascii="Times New Roman" w:eastAsia="Times New Roman" w:hAnsi="Times New Roman" w:cs="Times New Roman"/>
          <w:sz w:val="24"/>
          <w:szCs w:val="24"/>
        </w:rPr>
        <w:t xml:space="preserve"> at eradicating market information asymmetry and </w:t>
      </w:r>
      <w:proofErr w:type="gramStart"/>
      <w:r>
        <w:rPr>
          <w:rFonts w:ascii="Times New Roman" w:eastAsia="Times New Roman" w:hAnsi="Times New Roman" w:cs="Times New Roman"/>
          <w:sz w:val="24"/>
          <w:szCs w:val="24"/>
        </w:rPr>
        <w:t>safeguarding</w:t>
      </w:r>
      <w:proofErr w:type="gramEnd"/>
      <w:r>
        <w:rPr>
          <w:rFonts w:ascii="Times New Roman" w:eastAsia="Times New Roman" w:hAnsi="Times New Roman" w:cs="Times New Roman"/>
          <w:sz w:val="24"/>
          <w:szCs w:val="24"/>
        </w:rPr>
        <w:t xml:space="preserve"> consumer sovereignty.</w:t>
      </w:r>
    </w:p>
    <w:p w14:paraId="00000007" w14:textId="77777777" w:rsidR="00AF5996" w:rsidRDefault="00AF5996">
      <w:pPr>
        <w:spacing w:before="240" w:after="240"/>
        <w:jc w:val="both"/>
        <w:rPr>
          <w:rFonts w:ascii="Times New Roman" w:eastAsia="Times New Roman" w:hAnsi="Times New Roman" w:cs="Times New Roman"/>
          <w:sz w:val="24"/>
          <w:szCs w:val="24"/>
        </w:rPr>
      </w:pPr>
    </w:p>
    <w:p w14:paraId="00000008" w14:textId="77777777" w:rsidR="00AF5996" w:rsidRDefault="00AF5996">
      <w:pPr>
        <w:spacing w:after="120"/>
        <w:jc w:val="both"/>
        <w:rPr>
          <w:rFonts w:ascii="Times New Roman" w:eastAsia="Times New Roman" w:hAnsi="Times New Roman" w:cs="Times New Roman"/>
          <w:sz w:val="24"/>
          <w:szCs w:val="24"/>
        </w:rPr>
      </w:pPr>
    </w:p>
    <w:p w14:paraId="00000009" w14:textId="77777777" w:rsidR="00AF5996" w:rsidRDefault="00083456">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Justified Reason, Consumer Protection, FCCPA 2018, Unilateral Price Variations, Digital Adhesion Contract, Netflix Italia.</w:t>
      </w:r>
    </w:p>
    <w:p w14:paraId="0000000A" w14:textId="77777777" w:rsidR="00AF5996" w:rsidRDefault="00AF5996">
      <w:pPr>
        <w:spacing w:after="120" w:line="360" w:lineRule="auto"/>
        <w:jc w:val="both"/>
        <w:rPr>
          <w:rFonts w:ascii="Times New Roman" w:eastAsia="Times New Roman" w:hAnsi="Times New Roman" w:cs="Times New Roman"/>
          <w:b/>
          <w:bCs/>
          <w:sz w:val="24"/>
          <w:szCs w:val="24"/>
        </w:rPr>
      </w:pPr>
    </w:p>
    <w:p w14:paraId="0000000B" w14:textId="77777777" w:rsidR="00AF5996" w:rsidRDefault="00AF5996">
      <w:pPr>
        <w:spacing w:after="120" w:line="360" w:lineRule="auto"/>
        <w:jc w:val="both"/>
        <w:rPr>
          <w:rFonts w:ascii="Times New Roman" w:eastAsia="Times New Roman" w:hAnsi="Times New Roman" w:cs="Times New Roman"/>
          <w:b/>
          <w:bCs/>
          <w:sz w:val="24"/>
          <w:szCs w:val="24"/>
        </w:rPr>
        <w:sectPr w:rsidR="00AF5996">
          <w:footnotePr>
            <w:numFmt w:val="chicago"/>
            <w:numRestart w:val="eachSect"/>
          </w:footnotePr>
          <w:type w:val="continuous"/>
          <w:pgSz w:w="11906" w:h="16838"/>
          <w:pgMar w:top="990" w:right="1440" w:bottom="900" w:left="1440" w:header="0" w:footer="220" w:gutter="0"/>
          <w:pgNumType w:start="1"/>
          <w:cols w:space="720"/>
        </w:sectPr>
      </w:pPr>
    </w:p>
    <w:p w14:paraId="0000000C" w14:textId="77777777" w:rsidR="00AF5996" w:rsidRDefault="00083456">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1.0 Introducti</w:t>
      </w:r>
      <w:r>
        <w:rPr>
          <w:rFonts w:ascii="Times New Roman" w:eastAsia="Times New Roman" w:hAnsi="Times New Roman" w:cs="Times New Roman"/>
          <w:b/>
          <w:bCs/>
          <w:sz w:val="24"/>
          <w:szCs w:val="24"/>
        </w:rPr>
        <w:t>on</w:t>
      </w:r>
    </w:p>
    <w:p w14:paraId="0000000D" w14:textId="77777777" w:rsidR="00AF5996" w:rsidRDefault="00083456">
      <w:pPr>
        <w:pBdr>
          <w:top w:val="nil"/>
          <w:left w:val="nil"/>
          <w:bottom w:val="nil"/>
          <w:right w:val="nil"/>
          <w:between w:val="nil"/>
        </w:pBdr>
        <w:spacing w:after="1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transition from traditional bargains and physical contracts to the landscape of digital adhesion contracts, has redefined the law of contract and consumer protection law. In this modern digital economy, digital platforms frequently operate through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tandardised</w:t>
      </w:r>
      <w:proofErr w:type="spellEnd"/>
      <w:r>
        <w:rPr>
          <w:rFonts w:ascii="Times New Roman" w:eastAsia="Times New Roman" w:hAnsi="Times New Roman" w:cs="Times New Roman"/>
          <w:sz w:val="24"/>
          <w:szCs w:val="24"/>
        </w:rPr>
        <w:t xml:space="preserve"> digital agreements which allows for the delivery of global services.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However, through these digital adhesion contracts with unfair clauses and terms, companies often retain large amounts of power to change terms or pricing unilaterally. This o</w:t>
      </w:r>
      <w:r>
        <w:rPr>
          <w:rFonts w:ascii="Times New Roman" w:eastAsia="Times New Roman" w:hAnsi="Times New Roman" w:cs="Times New Roman"/>
          <w:sz w:val="24"/>
          <w:szCs w:val="24"/>
        </w:rPr>
        <w:t>ften creates a contractual vacuum where the original consent of the consumer, though with a period of notice given for exit, is used to cover future price changes with no justified reason given to the consumer. This phenomenon raises questions about the va</w:t>
      </w:r>
      <w:r>
        <w:rPr>
          <w:rFonts w:ascii="Times New Roman" w:eastAsia="Times New Roman" w:hAnsi="Times New Roman" w:cs="Times New Roman"/>
          <w:sz w:val="24"/>
          <w:szCs w:val="24"/>
        </w:rPr>
        <w:t>lidity of such agreements when these unfair terms are present, especially as these digital services become essential to daily life across the globe.</w:t>
      </w:r>
    </w:p>
    <w:p w14:paraId="0000000E" w14:textId="77777777" w:rsidR="00AF5996" w:rsidRDefault="00083456">
      <w:pPr>
        <w:pBdr>
          <w:top w:val="nil"/>
          <w:left w:val="nil"/>
          <w:bottom w:val="nil"/>
          <w:right w:val="nil"/>
          <w:between w:val="nil"/>
        </w:pBdr>
        <w:spacing w:after="1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decision of the Civil Court of Rome regarding Netflix’s contractual practices underscores a crit</w:t>
      </w:r>
      <w:r>
        <w:rPr>
          <w:rFonts w:ascii="Times New Roman" w:eastAsia="Times New Roman" w:hAnsi="Times New Roman" w:cs="Times New Roman"/>
          <w:sz w:val="24"/>
          <w:szCs w:val="24"/>
        </w:rPr>
        <w:t xml:space="preserve">ical standard of statutory accountability, reinforcing the necessity of Digital Service Providers (DSP) to maintain contractual fairness within the digital ecosystem. At the heart of this ruling is the concept of a justified reason which suggests that the </w:t>
      </w:r>
      <w:r>
        <w:rPr>
          <w:rFonts w:ascii="Times New Roman" w:eastAsia="Times New Roman" w:hAnsi="Times New Roman" w:cs="Times New Roman"/>
          <w:sz w:val="24"/>
          <w:szCs w:val="24"/>
        </w:rPr>
        <w:t xml:space="preserve">right of a DSP to modify a contract is not absolute. The core dispute of the case </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on the validity and enforcement of the DSP right to vary prices without a justified reason or with a justified reason which was not disclosed to the consumer at the t</w:t>
      </w:r>
      <w:r>
        <w:rPr>
          <w:rFonts w:ascii="Times New Roman" w:eastAsia="Times New Roman" w:hAnsi="Times New Roman" w:cs="Times New Roman"/>
          <w:sz w:val="24"/>
          <w:szCs w:val="24"/>
        </w:rPr>
        <w:t>ime of entering into the agreement.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The resounding decision of the court was that valid price variation must be based on a justified reason disclosed to the consumer rather than on clauses and terms purporting to grant those powers.</w:t>
      </w:r>
    </w:p>
    <w:p w14:paraId="0000000F" w14:textId="77777777" w:rsidR="00AF5996" w:rsidRDefault="00083456">
      <w:pPr>
        <w:pBdr>
          <w:top w:val="nil"/>
          <w:left w:val="nil"/>
          <w:bottom w:val="nil"/>
          <w:right w:val="nil"/>
          <w:between w:val="nil"/>
        </w:pBdr>
        <w:spacing w:after="1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this provi</w:t>
      </w:r>
      <w:r>
        <w:rPr>
          <w:rFonts w:ascii="Times New Roman" w:eastAsia="Times New Roman" w:hAnsi="Times New Roman" w:cs="Times New Roman"/>
          <w:sz w:val="24"/>
          <w:szCs w:val="24"/>
        </w:rPr>
        <w:t>des a critical consumer protection roadmap for the Federal Competition and Consumer Protection Commission (FCCPC). Adopting a doctrinal methodology, this study aims to examine the provisions of the Federal Competition and Consumer Protection Act 2018 (FCCP</w:t>
      </w:r>
      <w:r>
        <w:rPr>
          <w:rFonts w:ascii="Times New Roman" w:eastAsia="Times New Roman" w:hAnsi="Times New Roman" w:cs="Times New Roman"/>
          <w:sz w:val="24"/>
          <w:szCs w:val="24"/>
        </w:rPr>
        <w:t xml:space="preserve">A) governing unfair contract terms, with a specific focus on determining the presence or absence of an explicit 'justified reason' requirement. This study, with lessons learnt from Netflix's case, advocates for a rigorous enforcement of fairness standards </w:t>
      </w:r>
      <w:r>
        <w:rPr>
          <w:rFonts w:ascii="Times New Roman" w:eastAsia="Times New Roman" w:hAnsi="Times New Roman" w:cs="Times New Roman"/>
          <w:sz w:val="24"/>
          <w:szCs w:val="24"/>
        </w:rPr>
        <w:t>to protect the integrity of the digital marketplace and consumer the rights of every citizen.</w:t>
      </w:r>
    </w:p>
    <w:p w14:paraId="00000010"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2.0 Assessing the Validity of Digital Adhesion Contracts in this Modern Era</w:t>
      </w:r>
    </w:p>
    <w:p w14:paraId="00000011"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Black’s Law Dictionary defines a contract as an agreement between two or more parties </w:t>
      </w:r>
      <w:r>
        <w:rPr>
          <w:rFonts w:ascii="Times New Roman" w:eastAsia="Times New Roman" w:hAnsi="Times New Roman" w:cs="Times New Roman"/>
          <w:sz w:val="24"/>
          <w:szCs w:val="24"/>
        </w:rPr>
        <w:t xml:space="preserve">creating obligations that are enforceable or otherwise </w:t>
      </w:r>
      <w:proofErr w:type="spellStart"/>
      <w:r>
        <w:rPr>
          <w:rFonts w:ascii="Times New Roman" w:eastAsia="Times New Roman" w:hAnsi="Times New Roman" w:cs="Times New Roman"/>
          <w:sz w:val="24"/>
          <w:szCs w:val="24"/>
        </w:rPr>
        <w:t>recognisable</w:t>
      </w:r>
      <w:proofErr w:type="spellEnd"/>
      <w:r>
        <w:rPr>
          <w:rFonts w:ascii="Times New Roman" w:eastAsia="Times New Roman" w:hAnsi="Times New Roman" w:cs="Times New Roman"/>
          <w:sz w:val="24"/>
          <w:szCs w:val="24"/>
        </w:rPr>
        <w:t xml:space="preserve"> at law.</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Further, it defines an adhesion contract as a standard-form contract prepared by one party to be signed by another party in a weaker position, usually a customer who adheres to th</w:t>
      </w:r>
      <w:r>
        <w:rPr>
          <w:rFonts w:ascii="Times New Roman" w:eastAsia="Times New Roman" w:hAnsi="Times New Roman" w:cs="Times New Roman"/>
          <w:sz w:val="24"/>
          <w:szCs w:val="24"/>
        </w:rPr>
        <w:t>e contract with little choice about the terms.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In other words, a contract of adhesion also called “Standard Form Contracts or “Boiler-Plate Contracts” is a contract presented to a weaker party on a “</w:t>
      </w:r>
      <w:r>
        <w:rPr>
          <w:rFonts w:ascii="Times New Roman" w:eastAsia="Times New Roman" w:hAnsi="Times New Roman" w:cs="Times New Roman"/>
          <w:i/>
          <w:iCs/>
          <w:sz w:val="24"/>
          <w:szCs w:val="24"/>
        </w:rPr>
        <w:t>take-it-or-leave-it</w:t>
      </w:r>
      <w:r>
        <w:rPr>
          <w:rFonts w:ascii="Times New Roman" w:eastAsia="Times New Roman" w:hAnsi="Times New Roman" w:cs="Times New Roman"/>
          <w:sz w:val="24"/>
          <w:szCs w:val="24"/>
        </w:rPr>
        <w:t>" basis, without affording the weaker</w:t>
      </w:r>
      <w:r>
        <w:rPr>
          <w:rFonts w:ascii="Times New Roman" w:eastAsia="Times New Roman" w:hAnsi="Times New Roman" w:cs="Times New Roman"/>
          <w:sz w:val="24"/>
          <w:szCs w:val="24"/>
        </w:rPr>
        <w:t xml:space="preserve"> party a realistic opportunity to bargain.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This is especially common in digital environments, especially in mass-market transactions where DSPs, through digital adhesion contracts, dictate the terms of the agreement presented to the consumers. This lack o</w:t>
      </w:r>
      <w:r>
        <w:rPr>
          <w:rFonts w:ascii="Times New Roman" w:eastAsia="Times New Roman" w:hAnsi="Times New Roman" w:cs="Times New Roman"/>
          <w:sz w:val="24"/>
          <w:szCs w:val="24"/>
        </w:rPr>
        <w:t xml:space="preserve">f bilateral negotiation, combined with unequal bargaining power and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presentation fully represents the adhesive nature of such digital contracts.</w:t>
      </w:r>
      <w:r>
        <w:rPr>
          <w:rFonts w:ascii="Times New Roman" w:eastAsia="Times New Roman" w:hAnsi="Times New Roman" w:cs="Times New Roman"/>
          <w:sz w:val="24"/>
          <w:szCs w:val="24"/>
          <w:vertAlign w:val="superscript"/>
        </w:rPr>
        <w:footnoteReference w:id="7"/>
      </w:r>
    </w:p>
    <w:p w14:paraId="00000012"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these digital markets, adhesion contracts are structured so that a consumer's binding asse</w:t>
      </w:r>
      <w:r>
        <w:rPr>
          <w:rFonts w:ascii="Times New Roman" w:eastAsia="Times New Roman" w:hAnsi="Times New Roman" w:cs="Times New Roman"/>
          <w:sz w:val="24"/>
          <w:szCs w:val="24"/>
        </w:rPr>
        <w:t>nt is manifested through specific online interactions during the presentation of terms, regardless of whether the individual has actually read or understood the content.</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DSPs have massively adopted digital adhesion contracts mainly because they offer sign</w:t>
      </w:r>
      <w:r>
        <w:rPr>
          <w:rFonts w:ascii="Times New Roman" w:eastAsia="Times New Roman" w:hAnsi="Times New Roman" w:cs="Times New Roman"/>
          <w:sz w:val="24"/>
          <w:szCs w:val="24"/>
        </w:rPr>
        <w:t>ificant practical and commercial benefits by allowing DSPs to manage vast numbers of consumers under uniform conditions, reduce transaction costs associated with individual negotiations, facilitate rapid scaling of services, and effectively allocate risks.</w:t>
      </w:r>
      <w:r>
        <w:rPr>
          <w:rFonts w:ascii="Times New Roman" w:eastAsia="Times New Roman" w:hAnsi="Times New Roman" w:cs="Times New Roman"/>
          <w:sz w:val="24"/>
          <w:szCs w:val="24"/>
        </w:rPr>
        <w:t xml:space="preserve"> In the growing digital economy, where digital services serve millions, this approach supports consistency, predictability, and business </w:t>
      </w:r>
      <w:r>
        <w:rPr>
          <w:rFonts w:ascii="Times New Roman" w:eastAsia="Times New Roman" w:hAnsi="Times New Roman" w:cs="Times New Roman"/>
          <w:sz w:val="24"/>
          <w:szCs w:val="24"/>
        </w:rPr>
        <w:lastRenderedPageBreak/>
        <w:t>viability.</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14:paraId="00000013"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the legal validity of this form of modern digital contract, their operational mechanics must </w:t>
      </w:r>
      <w:r>
        <w:rPr>
          <w:rFonts w:ascii="Times New Roman" w:eastAsia="Times New Roman" w:hAnsi="Times New Roman" w:cs="Times New Roman"/>
          <w:sz w:val="24"/>
          <w:szCs w:val="24"/>
        </w:rPr>
        <w:t>be evaluated against the essential requirements of a valid contract. As a general principle of contract law, the formation of a contract is not subject to strict formal requirements to achieve legal validity as it may be established through express oral st</w:t>
      </w:r>
      <w:r>
        <w:rPr>
          <w:rFonts w:ascii="Times New Roman" w:eastAsia="Times New Roman" w:hAnsi="Times New Roman" w:cs="Times New Roman"/>
          <w:sz w:val="24"/>
          <w:szCs w:val="24"/>
        </w:rPr>
        <w:t>atements, written instruments, or inferred from the parties' course of conduct.</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However, in the case of </w:t>
      </w:r>
      <w:proofErr w:type="spellStart"/>
      <w:r>
        <w:rPr>
          <w:rFonts w:ascii="Times New Roman" w:eastAsia="Times New Roman" w:hAnsi="Times New Roman" w:cs="Times New Roman"/>
          <w:i/>
          <w:iCs/>
          <w:sz w:val="24"/>
          <w:szCs w:val="24"/>
        </w:rPr>
        <w:t>Abdullahi</w:t>
      </w:r>
      <w:proofErr w:type="spellEnd"/>
      <w:r>
        <w:rPr>
          <w:rFonts w:ascii="Times New Roman" w:eastAsia="Times New Roman" w:hAnsi="Times New Roman" w:cs="Times New Roman"/>
          <w:i/>
          <w:iCs/>
          <w:sz w:val="24"/>
          <w:szCs w:val="24"/>
        </w:rPr>
        <w:t xml:space="preserve"> v. El-</w:t>
      </w:r>
      <w:proofErr w:type="spellStart"/>
      <w:r>
        <w:rPr>
          <w:rFonts w:ascii="Times New Roman" w:eastAsia="Times New Roman" w:hAnsi="Times New Roman" w:cs="Times New Roman"/>
          <w:i/>
          <w:iCs/>
          <w:sz w:val="24"/>
          <w:szCs w:val="24"/>
        </w:rPr>
        <w:t>Rufai</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the Supreme Court held that for an agreement to constitute a valid contract, certain vital elements must concurrently be presen</w:t>
      </w:r>
      <w:r>
        <w:rPr>
          <w:rFonts w:ascii="Times New Roman" w:eastAsia="Times New Roman" w:hAnsi="Times New Roman" w:cs="Times New Roman"/>
          <w:sz w:val="24"/>
          <w:szCs w:val="24"/>
        </w:rPr>
        <w:t xml:space="preserve">t which include </w:t>
      </w:r>
      <w:r>
        <w:rPr>
          <w:rFonts w:ascii="Times New Roman" w:eastAsia="Times New Roman" w:hAnsi="Times New Roman" w:cs="Times New Roman"/>
          <w:i/>
          <w:iCs/>
          <w:sz w:val="24"/>
          <w:szCs w:val="24"/>
        </w:rPr>
        <w:t>a definite offer, unqualified acceptance, valuable consideration, intention to create legal relations, contractual capacity of the parties, and legality of the object and purpose</w:t>
      </w:r>
      <w:r>
        <w:rPr>
          <w:rFonts w:ascii="Times New Roman" w:eastAsia="Times New Roman" w:hAnsi="Times New Roman" w:cs="Times New Roman"/>
          <w:sz w:val="24"/>
          <w:szCs w:val="24"/>
        </w:rPr>
        <w:t>.</w:t>
      </w:r>
    </w:p>
    <w:p w14:paraId="00000014"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digital adhesion contract, the elements of a </w:t>
      </w:r>
      <w:r>
        <w:rPr>
          <w:rFonts w:ascii="Times New Roman" w:eastAsia="Times New Roman" w:hAnsi="Times New Roman" w:cs="Times New Roman"/>
          <w:b/>
          <w:bCs/>
          <w:sz w:val="24"/>
          <w:szCs w:val="24"/>
        </w:rPr>
        <w:t>definite o</w:t>
      </w:r>
      <w:r>
        <w:rPr>
          <w:rFonts w:ascii="Times New Roman" w:eastAsia="Times New Roman" w:hAnsi="Times New Roman" w:cs="Times New Roman"/>
          <w:b/>
          <w:bCs/>
          <w:sz w:val="24"/>
          <w:szCs w:val="24"/>
        </w:rPr>
        <w:t>ffer</w:t>
      </w:r>
      <w:r>
        <w:rPr>
          <w:rFonts w:ascii="Times New Roman" w:eastAsia="Times New Roman" w:hAnsi="Times New Roman" w:cs="Times New Roman"/>
          <w:sz w:val="24"/>
          <w:szCs w:val="24"/>
        </w:rPr>
        <w:t xml:space="preserve"> is fulfilled through the display of the terms or providing a direct hyperlink to the terms before allowing the user access to the service. This offer must pass the test of a conspicuous and reasonable notice, as demonstrated in </w:t>
      </w:r>
      <w:r>
        <w:rPr>
          <w:rFonts w:ascii="Times New Roman" w:eastAsia="Times New Roman" w:hAnsi="Times New Roman" w:cs="Times New Roman"/>
          <w:i/>
          <w:iCs/>
          <w:sz w:val="24"/>
          <w:szCs w:val="24"/>
        </w:rPr>
        <w:t>Meyer v. Uber Technolog</w:t>
      </w:r>
      <w:r>
        <w:rPr>
          <w:rFonts w:ascii="Times New Roman" w:eastAsia="Times New Roman" w:hAnsi="Times New Roman" w:cs="Times New Roman"/>
          <w:i/>
          <w:iCs/>
          <w:sz w:val="24"/>
          <w:szCs w:val="24"/>
        </w:rPr>
        <w:t>ies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where an uncluttered </w:t>
      </w:r>
      <w:proofErr w:type="spellStart"/>
      <w:r>
        <w:rPr>
          <w:rFonts w:ascii="Times New Roman" w:eastAsia="Times New Roman" w:hAnsi="Times New Roman" w:cs="Times New Roman"/>
          <w:sz w:val="24"/>
          <w:szCs w:val="24"/>
        </w:rPr>
        <w:t>clickwrap</w:t>
      </w:r>
      <w:proofErr w:type="spellEnd"/>
      <w:r>
        <w:rPr>
          <w:rFonts w:ascii="Times New Roman" w:eastAsia="Times New Roman" w:hAnsi="Times New Roman" w:cs="Times New Roman"/>
          <w:sz w:val="24"/>
          <w:szCs w:val="24"/>
        </w:rPr>
        <w:t xml:space="preserve"> agreement was enforced because the notice was reasonably conspicuous and the hyperlinks were clearly visible without scrolling. In contrast, in </w:t>
      </w:r>
      <w:r>
        <w:rPr>
          <w:rFonts w:ascii="Times New Roman" w:eastAsia="Times New Roman" w:hAnsi="Times New Roman" w:cs="Times New Roman"/>
          <w:i/>
          <w:iCs/>
          <w:sz w:val="24"/>
          <w:szCs w:val="24"/>
        </w:rPr>
        <w:t>re Zappos.com v. Customer Data Sec. Breach Litigation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court declined </w:t>
      </w:r>
      <w:r>
        <w:rPr>
          <w:rFonts w:ascii="Times New Roman" w:eastAsia="Times New Roman" w:hAnsi="Times New Roman" w:cs="Times New Roman"/>
          <w:sz w:val="24"/>
          <w:szCs w:val="24"/>
        </w:rPr>
        <w:t xml:space="preserve">enforcement because the links were hidden at </w:t>
      </w:r>
      <w:r>
        <w:rPr>
          <w:rFonts w:ascii="Times New Roman" w:eastAsia="Times New Roman" w:hAnsi="Times New Roman" w:cs="Times New Roman"/>
          <w:i/>
          <w:iCs/>
          <w:sz w:val="24"/>
          <w:szCs w:val="24"/>
        </w:rPr>
        <w:t>the bottom of the page</w:t>
      </w:r>
      <w:r>
        <w:rPr>
          <w:rFonts w:ascii="Times New Roman" w:eastAsia="Times New Roman" w:hAnsi="Times New Roman" w:cs="Times New Roman"/>
          <w:sz w:val="24"/>
          <w:szCs w:val="24"/>
        </w:rPr>
        <w:t xml:space="preserve"> and in </w:t>
      </w:r>
      <w:r>
        <w:rPr>
          <w:rFonts w:ascii="Times New Roman" w:eastAsia="Times New Roman" w:hAnsi="Times New Roman" w:cs="Times New Roman"/>
          <w:i/>
          <w:iCs/>
          <w:sz w:val="24"/>
          <w:szCs w:val="24"/>
        </w:rPr>
        <w:t>a standard font</w:t>
      </w:r>
      <w:r>
        <w:rPr>
          <w:rFonts w:ascii="Times New Roman" w:eastAsia="Times New Roman" w:hAnsi="Times New Roman" w:cs="Times New Roman"/>
          <w:sz w:val="24"/>
          <w:szCs w:val="24"/>
        </w:rPr>
        <w:t xml:space="preserve"> which failed to give users </w:t>
      </w:r>
      <w:r>
        <w:rPr>
          <w:rFonts w:ascii="Times New Roman" w:eastAsia="Times New Roman" w:hAnsi="Times New Roman" w:cs="Times New Roman"/>
          <w:i/>
          <w:iCs/>
          <w:sz w:val="24"/>
          <w:szCs w:val="24"/>
        </w:rPr>
        <w:t>conspicuous notice</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Next, the element of </w:t>
      </w:r>
      <w:r>
        <w:rPr>
          <w:rFonts w:ascii="Times New Roman" w:eastAsia="Times New Roman" w:hAnsi="Times New Roman" w:cs="Times New Roman"/>
          <w:b/>
          <w:bCs/>
          <w:sz w:val="24"/>
          <w:szCs w:val="24"/>
        </w:rPr>
        <w:t>acceptance</w:t>
      </w:r>
      <w:r>
        <w:rPr>
          <w:rFonts w:ascii="Times New Roman" w:eastAsia="Times New Roman" w:hAnsi="Times New Roman" w:cs="Times New Roman"/>
          <w:sz w:val="24"/>
          <w:szCs w:val="24"/>
        </w:rPr>
        <w:t xml:space="preserve"> may be evidenced in various ways that objectively manifest assent or consent. While the clearest form involves affirmative action such as clicking a button such as “I Agree” or checking a box, acceptance is also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through conduct after reasonable</w:t>
      </w:r>
      <w:r>
        <w:rPr>
          <w:rFonts w:ascii="Times New Roman" w:eastAsia="Times New Roman" w:hAnsi="Times New Roman" w:cs="Times New Roman"/>
          <w:sz w:val="24"/>
          <w:szCs w:val="24"/>
        </w:rPr>
        <w:t xml:space="preserve"> notice. This includes opening or using a product in </w:t>
      </w:r>
      <w:proofErr w:type="spellStart"/>
      <w:r>
        <w:rPr>
          <w:rFonts w:ascii="Times New Roman" w:eastAsia="Times New Roman" w:hAnsi="Times New Roman" w:cs="Times New Roman"/>
          <w:sz w:val="24"/>
          <w:szCs w:val="24"/>
        </w:rPr>
        <w:t>shrinkwrap</w:t>
      </w:r>
      <w:proofErr w:type="spellEnd"/>
      <w:r>
        <w:rPr>
          <w:rFonts w:ascii="Times New Roman" w:eastAsia="Times New Roman" w:hAnsi="Times New Roman" w:cs="Times New Roman"/>
          <w:sz w:val="24"/>
          <w:szCs w:val="24"/>
        </w:rPr>
        <w:t xml:space="preserve"> agreements, continued use of a website in </w:t>
      </w:r>
      <w:proofErr w:type="spellStart"/>
      <w:r>
        <w:rPr>
          <w:rFonts w:ascii="Times New Roman" w:eastAsia="Times New Roman" w:hAnsi="Times New Roman" w:cs="Times New Roman"/>
          <w:sz w:val="24"/>
          <w:szCs w:val="24"/>
        </w:rPr>
        <w:t>browsewrap</w:t>
      </w:r>
      <w:proofErr w:type="spellEnd"/>
      <w:r>
        <w:rPr>
          <w:rFonts w:ascii="Times New Roman" w:eastAsia="Times New Roman" w:hAnsi="Times New Roman" w:cs="Times New Roman"/>
          <w:sz w:val="24"/>
          <w:szCs w:val="24"/>
        </w:rPr>
        <w:t xml:space="preserve"> agreements, and proceeding with login or registration in sign-in wrap agreements.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14:paraId="00000015"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Furthermore, the element of </w:t>
      </w:r>
      <w:r>
        <w:rPr>
          <w:rFonts w:ascii="Times New Roman" w:eastAsia="Times New Roman" w:hAnsi="Times New Roman" w:cs="Times New Roman"/>
          <w:b/>
          <w:bCs/>
          <w:sz w:val="24"/>
          <w:szCs w:val="24"/>
        </w:rPr>
        <w:t>valuable consideration</w:t>
      </w:r>
      <w:r>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satisfied through a reciprocal digital exchange, where the subscriber provides fees in return for immediate access to the platform's digital ecosystem.</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Next, the element of </w:t>
      </w:r>
      <w:r>
        <w:rPr>
          <w:rFonts w:ascii="Times New Roman" w:eastAsia="Times New Roman" w:hAnsi="Times New Roman" w:cs="Times New Roman"/>
          <w:b/>
          <w:bCs/>
          <w:sz w:val="24"/>
          <w:szCs w:val="24"/>
        </w:rPr>
        <w:t>contractual capacity</w:t>
      </w:r>
      <w:r>
        <w:rPr>
          <w:rFonts w:ascii="Times New Roman" w:eastAsia="Times New Roman" w:hAnsi="Times New Roman" w:cs="Times New Roman"/>
          <w:sz w:val="24"/>
          <w:szCs w:val="24"/>
        </w:rPr>
        <w:t xml:space="preserve"> is addressed during the account creation stage, where the pla</w:t>
      </w:r>
      <w:r>
        <w:rPr>
          <w:rFonts w:ascii="Times New Roman" w:eastAsia="Times New Roman" w:hAnsi="Times New Roman" w:cs="Times New Roman"/>
          <w:sz w:val="24"/>
          <w:szCs w:val="24"/>
        </w:rPr>
        <w:t xml:space="preserve">tform relies on user declarations to satisfy the legal presumption that the adhering party possesses the capacity to contract. Finally, the element of </w:t>
      </w:r>
      <w:r>
        <w:rPr>
          <w:rFonts w:ascii="Times New Roman" w:eastAsia="Times New Roman" w:hAnsi="Times New Roman" w:cs="Times New Roman"/>
          <w:b/>
          <w:bCs/>
          <w:sz w:val="24"/>
          <w:szCs w:val="24"/>
        </w:rPr>
        <w:t>legality of the object</w:t>
      </w:r>
      <w:r>
        <w:rPr>
          <w:rFonts w:ascii="Times New Roman" w:eastAsia="Times New Roman" w:hAnsi="Times New Roman" w:cs="Times New Roman"/>
          <w:sz w:val="24"/>
          <w:szCs w:val="24"/>
        </w:rPr>
        <w:t xml:space="preserve"> is satisfied provided that the core digital services, content streaming, or techno</w:t>
      </w:r>
      <w:r>
        <w:rPr>
          <w:rFonts w:ascii="Times New Roman" w:eastAsia="Times New Roman" w:hAnsi="Times New Roman" w:cs="Times New Roman"/>
          <w:sz w:val="24"/>
          <w:szCs w:val="24"/>
        </w:rPr>
        <w:t>logical utilities offered by the DSPs remain compliant with statutory laws. While the seamless alignment of these distinct elements successfully completes the formal framework of a contract under modern electronic transactions laws, this mechanical validat</w:t>
      </w:r>
      <w:r>
        <w:rPr>
          <w:rFonts w:ascii="Times New Roman" w:eastAsia="Times New Roman" w:hAnsi="Times New Roman" w:cs="Times New Roman"/>
          <w:sz w:val="24"/>
          <w:szCs w:val="24"/>
        </w:rPr>
        <w:t>ion completely strips away the genuine negotiation and meeting of minds that underpins contract.</w:t>
      </w:r>
    </w:p>
    <w:p w14:paraId="00000016"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standard contract law principles clearly shows that digital adhesion contracts are legally valid. Consequently, because the adhesive nature of </w:t>
      </w:r>
      <w:r>
        <w:rPr>
          <w:rFonts w:ascii="Times New Roman" w:eastAsia="Times New Roman" w:hAnsi="Times New Roman" w:cs="Times New Roman"/>
          <w:sz w:val="24"/>
          <w:szCs w:val="24"/>
        </w:rPr>
        <w:t>these agreements creates a stark imbalance in bargaining power, they are strictly subject to constant judicial oversight to prevent unfairness and oppression of the adhering, weaker party by the DSPs.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This protective stance was evident in </w:t>
      </w:r>
      <w:r>
        <w:rPr>
          <w:rFonts w:ascii="Times New Roman" w:eastAsia="Times New Roman" w:hAnsi="Times New Roman" w:cs="Times New Roman"/>
          <w:i/>
          <w:iCs/>
          <w:sz w:val="24"/>
          <w:szCs w:val="24"/>
        </w:rPr>
        <w:t xml:space="preserve">Bragg v. Linden </w:t>
      </w:r>
      <w:r>
        <w:rPr>
          <w:rFonts w:ascii="Times New Roman" w:eastAsia="Times New Roman" w:hAnsi="Times New Roman" w:cs="Times New Roman"/>
          <w:i/>
          <w:iCs/>
          <w:sz w:val="24"/>
          <w:szCs w:val="24"/>
        </w:rPr>
        <w:t>Research, Inc.,</w:t>
      </w:r>
      <w:r>
        <w:rPr>
          <w:rFonts w:ascii="Times New Roman" w:eastAsia="Times New Roman" w:hAnsi="Times New Roman" w:cs="Times New Roman"/>
          <w:i/>
          <w:iCs/>
          <w:sz w:val="24"/>
          <w:szCs w:val="24"/>
          <w:vertAlign w:val="superscript"/>
        </w:rPr>
        <w:footnoteReference w:id="18"/>
      </w:r>
      <w:r>
        <w:rPr>
          <w:rFonts w:ascii="Times New Roman" w:eastAsia="Times New Roman" w:hAnsi="Times New Roman" w:cs="Times New Roman"/>
          <w:sz w:val="24"/>
          <w:szCs w:val="24"/>
        </w:rPr>
        <w:t xml:space="preserve"> where, although the click-wrap mechanism itself was technically sound, the court struck down the arbitration provisions due to the oppressive, one-sided nature of the terms imposed on the consumer. A similar intervention occurred in </w:t>
      </w:r>
      <w:r>
        <w:rPr>
          <w:rFonts w:ascii="Times New Roman" w:eastAsia="Times New Roman" w:hAnsi="Times New Roman" w:cs="Times New Roman"/>
          <w:i/>
          <w:iCs/>
          <w:sz w:val="24"/>
          <w:szCs w:val="24"/>
        </w:rPr>
        <w:t>Comb v</w:t>
      </w:r>
      <w:r>
        <w:rPr>
          <w:rFonts w:ascii="Times New Roman" w:eastAsia="Times New Roman" w:hAnsi="Times New Roman" w:cs="Times New Roman"/>
          <w:i/>
          <w:iCs/>
          <w:sz w:val="24"/>
          <w:szCs w:val="24"/>
        </w:rPr>
        <w:t>. PayPal, Inc</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where the court refused to enforce exploitative clauses upon a clear showing of procedural and substantive unfairness that heavily favored the corporate entity. </w:t>
      </w:r>
    </w:p>
    <w:p w14:paraId="00000017"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courts continuously seek to balance commercial efficiency against substant</w:t>
      </w:r>
      <w:r>
        <w:rPr>
          <w:rFonts w:ascii="Times New Roman" w:eastAsia="Times New Roman" w:hAnsi="Times New Roman" w:cs="Times New Roman"/>
          <w:sz w:val="24"/>
          <w:szCs w:val="24"/>
        </w:rPr>
        <w:t xml:space="preserve">ive validity and consumer protection, it is imperative to consider the recent decision of the Court of Rome in the Netflix Italia case, which marks a definitive step forward in protecting digital users trapped in this strict "take-it-or-leave-it" contract </w:t>
      </w:r>
      <w:r>
        <w:rPr>
          <w:rFonts w:ascii="Times New Roman" w:eastAsia="Times New Roman" w:hAnsi="Times New Roman" w:cs="Times New Roman"/>
          <w:sz w:val="24"/>
          <w:szCs w:val="24"/>
        </w:rPr>
        <w:t xml:space="preserve">model. </w:t>
      </w:r>
    </w:p>
    <w:p w14:paraId="00000018"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3.0 Netflix Italia and the Decision of the Court of Rome: The Touch of Consumer Protection </w:t>
      </w:r>
    </w:p>
    <w:p w14:paraId="00000019"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2015, the streaming giant Netflix officially launched its commercial operations in Italy. At its inception, Netflix established its baseline prices at €9.99 per month for the Standard tier and €11.99 per month for the Premium tier. However, as it starte</w:t>
      </w:r>
      <w:r>
        <w:rPr>
          <w:rFonts w:ascii="Times New Roman" w:eastAsia="Times New Roman" w:hAnsi="Times New Roman" w:cs="Times New Roman"/>
          <w:sz w:val="24"/>
          <w:szCs w:val="24"/>
        </w:rPr>
        <w:t xml:space="preserve">d gaining market dominance, it began implementing a series of consecutive, unilateral price increases. Based on standard clauses embedded in its terms of use (allowing Netflix to vary and increase its prices “from time to time" and alter its conditions of </w:t>
      </w:r>
      <w:r>
        <w:rPr>
          <w:rFonts w:ascii="Times New Roman" w:eastAsia="Times New Roman" w:hAnsi="Times New Roman" w:cs="Times New Roman"/>
          <w:sz w:val="24"/>
          <w:szCs w:val="24"/>
        </w:rPr>
        <w:t>use "periodically”), Netflix began asserting its contractual right and began modifying its subscription fees successively hiking prices across all subscription tiers in 2017, 2019, 2021 and most recently in November 2024. By the end of this cycle, these ad</w:t>
      </w:r>
      <w:r>
        <w:rPr>
          <w:rFonts w:ascii="Times New Roman" w:eastAsia="Times New Roman" w:hAnsi="Times New Roman" w:cs="Times New Roman"/>
          <w:sz w:val="24"/>
          <w:szCs w:val="24"/>
        </w:rPr>
        <w:t>justments had driven the Premium plan up to €19.99 per month while the Standard plan reached €13.99 per month.</w:t>
      </w:r>
      <w:r>
        <w:rPr>
          <w:rFonts w:ascii="Times New Roman" w:eastAsia="Times New Roman" w:hAnsi="Times New Roman" w:cs="Times New Roman"/>
          <w:sz w:val="24"/>
          <w:szCs w:val="24"/>
          <w:vertAlign w:val="superscript"/>
        </w:rPr>
        <w:footnoteReference w:id="20"/>
      </w:r>
    </w:p>
    <w:p w14:paraId="0000001A" w14:textId="77777777" w:rsidR="00AF5996" w:rsidRDefault="00083456">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Recognising</w:t>
      </w:r>
      <w:proofErr w:type="spellEnd"/>
      <w:r>
        <w:rPr>
          <w:rFonts w:ascii="Times New Roman" w:eastAsia="Times New Roman" w:hAnsi="Times New Roman" w:cs="Times New Roman"/>
          <w:sz w:val="24"/>
          <w:szCs w:val="24"/>
        </w:rPr>
        <w:t xml:space="preserve"> this as an exploitative commercial model, </w:t>
      </w:r>
      <w:proofErr w:type="spellStart"/>
      <w:r>
        <w:rPr>
          <w:rFonts w:ascii="Times New Roman" w:eastAsia="Times New Roman" w:hAnsi="Times New Roman" w:cs="Times New Roman"/>
          <w:i/>
          <w:iCs/>
          <w:sz w:val="24"/>
          <w:szCs w:val="24"/>
        </w:rPr>
        <w:t>Movimento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Consumatori</w:t>
      </w:r>
      <w:proofErr w:type="spellEnd"/>
      <w:r>
        <w:rPr>
          <w:rFonts w:ascii="Times New Roman" w:eastAsia="Times New Roman" w:hAnsi="Times New Roman" w:cs="Times New Roman"/>
          <w:sz w:val="24"/>
          <w:szCs w:val="24"/>
        </w:rPr>
        <w:t xml:space="preserve"> (one of Italy’s largest consumer advocacy associations) initiated a </w:t>
      </w:r>
      <w:r>
        <w:rPr>
          <w:rFonts w:ascii="Times New Roman" w:eastAsia="Times New Roman" w:hAnsi="Times New Roman" w:cs="Times New Roman"/>
          <w:sz w:val="24"/>
          <w:szCs w:val="24"/>
        </w:rPr>
        <w:t>class-action lawsuit against Netflix. ​The regulatory background took a sharper turn when the Italian Competition Authority issued directives clarifying that standard form agreements must explicitly outline the specific grounds justifying unilateral modifi</w:t>
      </w:r>
      <w:r>
        <w:rPr>
          <w:rFonts w:ascii="Times New Roman" w:eastAsia="Times New Roman" w:hAnsi="Times New Roman" w:cs="Times New Roman"/>
          <w:sz w:val="24"/>
          <w:szCs w:val="24"/>
        </w:rPr>
        <w:t>cations. While Netflix eventually reacted by adjusting its contractual language in January 2024 and April 2025 to include high-level disclaimers regarding cost elements and regulatory changes, the liability remained unaddressed. ​The matter culminated in a</w:t>
      </w:r>
      <w:r>
        <w:rPr>
          <w:rFonts w:ascii="Times New Roman" w:eastAsia="Times New Roman" w:hAnsi="Times New Roman" w:cs="Times New Roman"/>
          <w:sz w:val="24"/>
          <w:szCs w:val="24"/>
        </w:rPr>
        <w:t xml:space="preserve"> watershed judgment on April 2026, where the Civil Court of Rome dealt a severe blow to the streaming giant's operations</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vertAlign w:val="superscript"/>
        </w:rPr>
        <w:footnoteReference w:id="21"/>
      </w:r>
      <w:r>
        <w:rPr>
          <w:rFonts w:ascii="Times New Roman" w:eastAsia="Times New Roman" w:hAnsi="Times New Roman" w:cs="Times New Roman"/>
          <w:sz w:val="24"/>
          <w:szCs w:val="24"/>
        </w:rPr>
        <w:t xml:space="preserve"> The court focused its scrutiny squarely on the core legal issue: </w:t>
      </w:r>
      <w:r>
        <w:rPr>
          <w:rFonts w:ascii="Times New Roman" w:eastAsia="Times New Roman" w:hAnsi="Times New Roman" w:cs="Times New Roman"/>
          <w:i/>
          <w:iCs/>
          <w:sz w:val="24"/>
          <w:szCs w:val="24"/>
        </w:rPr>
        <w:t>whether a DSP can legally activate its power of unilateral price var</w:t>
      </w:r>
      <w:r>
        <w:rPr>
          <w:rFonts w:ascii="Times New Roman" w:eastAsia="Times New Roman" w:hAnsi="Times New Roman" w:cs="Times New Roman"/>
          <w:i/>
          <w:iCs/>
          <w:sz w:val="24"/>
          <w:szCs w:val="24"/>
        </w:rPr>
        <w:t>iation without a justified reason, hiding behind the shield of prior consumer consent and a mere right of exit.</w:t>
      </w:r>
    </w:p>
    <w:p w14:paraId="0000001B"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Civil Court of Rome decisively rejected this practice, ruling on the side of consumer sovereignty and establishing a precedent that fundame</w:t>
      </w:r>
      <w:r>
        <w:rPr>
          <w:rFonts w:ascii="Times New Roman" w:eastAsia="Times New Roman" w:hAnsi="Times New Roman" w:cs="Times New Roman"/>
          <w:sz w:val="24"/>
          <w:szCs w:val="24"/>
        </w:rPr>
        <w:t xml:space="preserve">ntally reorders the obligations of contracting parties. The court ruled that in line with </w:t>
      </w:r>
      <w:r>
        <w:rPr>
          <w:rFonts w:ascii="Times New Roman" w:eastAsia="Times New Roman" w:hAnsi="Times New Roman" w:cs="Times New Roman"/>
          <w:i/>
          <w:iCs/>
          <w:sz w:val="24"/>
          <w:szCs w:val="24"/>
        </w:rPr>
        <w:t>Article 33(1) and (2</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m) of the Italian Consumer Code (</w:t>
      </w:r>
      <w:proofErr w:type="spellStart"/>
      <w:r>
        <w:rPr>
          <w:rFonts w:ascii="Times New Roman" w:eastAsia="Times New Roman" w:hAnsi="Times New Roman" w:cs="Times New Roman"/>
          <w:i/>
          <w:iCs/>
          <w:sz w:val="24"/>
          <w:szCs w:val="24"/>
        </w:rPr>
        <w:t>Codice</w:t>
      </w:r>
      <w:proofErr w:type="spellEnd"/>
      <w:r>
        <w:rPr>
          <w:rFonts w:ascii="Times New Roman" w:eastAsia="Times New Roman" w:hAnsi="Times New Roman" w:cs="Times New Roman"/>
          <w:i/>
          <w:iCs/>
          <w:sz w:val="24"/>
          <w:szCs w:val="24"/>
        </w:rPr>
        <w:t xml:space="preserve"> del </w:t>
      </w:r>
      <w:proofErr w:type="spellStart"/>
      <w:r>
        <w:rPr>
          <w:rFonts w:ascii="Times New Roman" w:eastAsia="Times New Roman" w:hAnsi="Times New Roman" w:cs="Times New Roman"/>
          <w:i/>
          <w:iCs/>
          <w:sz w:val="24"/>
          <w:szCs w:val="24"/>
        </w:rPr>
        <w:t>Consumo</w:t>
      </w:r>
      <w:proofErr w:type="spellEnd"/>
      <w:r>
        <w:rPr>
          <w:rFonts w:ascii="Times New Roman" w:eastAsia="Times New Roman" w:hAnsi="Times New Roman" w:cs="Times New Roman"/>
          <w:i/>
          <w:iCs/>
          <w:sz w:val="24"/>
          <w:szCs w:val="24"/>
        </w:rPr>
        <w:t>, Legislative Decree 206/2005, as amended)</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a DSP, even with a notice and a period for cance</w:t>
      </w:r>
      <w:r>
        <w:rPr>
          <w:rFonts w:ascii="Times New Roman" w:eastAsia="Times New Roman" w:hAnsi="Times New Roman" w:cs="Times New Roman"/>
          <w:sz w:val="24"/>
          <w:szCs w:val="24"/>
        </w:rPr>
        <w:t>llation provided, cannot unilaterally change the price of a service without explicitly stating in the contract, a clear, justified and valid reason (</w:t>
      </w:r>
      <w:proofErr w:type="spellStart"/>
      <w:r>
        <w:rPr>
          <w:rFonts w:ascii="Times New Roman" w:eastAsia="Times New Roman" w:hAnsi="Times New Roman" w:cs="Times New Roman"/>
          <w:i/>
          <w:iCs/>
          <w:sz w:val="24"/>
          <w:szCs w:val="24"/>
        </w:rPr>
        <w:t>guistificato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motivo</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that would reasonably trigger such a change of price.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In the absence of such, the cou</w:t>
      </w:r>
      <w:r>
        <w:rPr>
          <w:rFonts w:ascii="Times New Roman" w:eastAsia="Times New Roman" w:hAnsi="Times New Roman" w:cs="Times New Roman"/>
          <w:sz w:val="24"/>
          <w:szCs w:val="24"/>
        </w:rPr>
        <w:t xml:space="preserve">rt considered that simply giving notice and allowing users to cancel though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by law,</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was insufficient and utterly unfair. Since the judgment highlighted the insufficiency and unfairness of notice and a cancellation, two essential questions stand</w:t>
      </w:r>
      <w:r>
        <w:rPr>
          <w:rFonts w:ascii="Times New Roman" w:eastAsia="Times New Roman" w:hAnsi="Times New Roman" w:cs="Times New Roman"/>
          <w:sz w:val="24"/>
          <w:szCs w:val="24"/>
        </w:rPr>
        <w:t xml:space="preserve"> out: </w:t>
      </w:r>
      <w:r>
        <w:rPr>
          <w:rFonts w:ascii="Times New Roman" w:eastAsia="Times New Roman" w:hAnsi="Times New Roman" w:cs="Times New Roman"/>
          <w:i/>
          <w:iCs/>
          <w:sz w:val="24"/>
          <w:szCs w:val="24"/>
        </w:rPr>
        <w:t>what practically qualifies as a justified reason for unilateral price variations, and why does the notice and exit option fail the test of fairness?</w:t>
      </w:r>
    </w:p>
    <w:p w14:paraId="0000001C"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The Justified Reason Doctrine: Assessing its Legal Validity and Functional Necessity in Digital Adhesion Contracts.</w:t>
      </w:r>
    </w:p>
    <w:p w14:paraId="0000001D"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Court of Rome dismissed Netflix's arguments, firmly classified the unilateral price update terms, despite the corresponding update n</w:t>
      </w:r>
      <w:r>
        <w:rPr>
          <w:rFonts w:ascii="Times New Roman" w:eastAsia="Times New Roman" w:hAnsi="Times New Roman" w:cs="Times New Roman"/>
          <w:sz w:val="24"/>
          <w:szCs w:val="24"/>
        </w:rPr>
        <w:t>otification, as unfair.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For a better understanding, the terms referred to by Netflix and also reflected in the agreement can be classified as “</w:t>
      </w:r>
      <w:r>
        <w:rPr>
          <w:rFonts w:ascii="Times New Roman" w:eastAsia="Times New Roman" w:hAnsi="Times New Roman" w:cs="Times New Roman"/>
          <w:i/>
          <w:iCs/>
          <w:sz w:val="24"/>
          <w:szCs w:val="24"/>
        </w:rPr>
        <w:t>Vague Terms.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Vague Terms are generally used by DSPs to reserve wide discretionary powers to alter the agreemen</w:t>
      </w:r>
      <w:r>
        <w:rPr>
          <w:rFonts w:ascii="Times New Roman" w:eastAsia="Times New Roman" w:hAnsi="Times New Roman" w:cs="Times New Roman"/>
          <w:sz w:val="24"/>
          <w:szCs w:val="24"/>
        </w:rPr>
        <w:t>t without a justified reason.</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The defining characteristic of these vague </w:t>
      </w:r>
      <w:r>
        <w:rPr>
          <w:rFonts w:ascii="Times New Roman" w:eastAsia="Times New Roman" w:hAnsi="Times New Roman" w:cs="Times New Roman"/>
          <w:sz w:val="24"/>
          <w:szCs w:val="24"/>
        </w:rPr>
        <w:lastRenderedPageBreak/>
        <w:t>terms is a lack of transparency that deeply disadvantages and further displaces the contractual balance against the already disadvantaged consumer as the failure to provide a justifi</w:t>
      </w:r>
      <w:r>
        <w:rPr>
          <w:rFonts w:ascii="Times New Roman" w:eastAsia="Times New Roman" w:hAnsi="Times New Roman" w:cs="Times New Roman"/>
          <w:sz w:val="24"/>
          <w:szCs w:val="24"/>
        </w:rPr>
        <w:t>able reason for a price variation leaves consumers unable to predict the price increase let alone the basis for the increase in price.</w:t>
      </w:r>
    </w:p>
    <w:p w14:paraId="0000001E"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an understanding of the meaning of vague terms, what then is a justified reason? A justified or valid reason (</w:t>
      </w:r>
      <w:proofErr w:type="spellStart"/>
      <w:r>
        <w:rPr>
          <w:rFonts w:ascii="Times New Roman" w:eastAsia="Times New Roman" w:hAnsi="Times New Roman" w:cs="Times New Roman"/>
          <w:i/>
          <w:iCs/>
          <w:sz w:val="24"/>
          <w:szCs w:val="24"/>
        </w:rPr>
        <w:t>guisti</w:t>
      </w:r>
      <w:r>
        <w:rPr>
          <w:rFonts w:ascii="Times New Roman" w:eastAsia="Times New Roman" w:hAnsi="Times New Roman" w:cs="Times New Roman"/>
          <w:i/>
          <w:iCs/>
          <w:sz w:val="24"/>
          <w:szCs w:val="24"/>
        </w:rPr>
        <w:t>ficato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motivo</w:t>
      </w:r>
      <w:proofErr w:type="spellEnd"/>
      <w:r>
        <w:rPr>
          <w:rFonts w:ascii="Times New Roman" w:eastAsia="Times New Roman" w:hAnsi="Times New Roman" w:cs="Times New Roman"/>
          <w:sz w:val="24"/>
          <w:szCs w:val="24"/>
        </w:rPr>
        <w:t xml:space="preserve">), is the reason provided by the DSP to the consumer as the reason for the change in price that satisfies these four cumulative and concurrent criteria. </w:t>
      </w:r>
      <w:r>
        <w:rPr>
          <w:rFonts w:ascii="Times New Roman" w:eastAsia="Times New Roman" w:hAnsi="Times New Roman" w:cs="Times New Roman"/>
          <w:b/>
          <w:bCs/>
          <w:sz w:val="24"/>
          <w:szCs w:val="24"/>
        </w:rPr>
        <w:t xml:space="preserve">First, </w:t>
      </w:r>
      <w:r>
        <w:rPr>
          <w:rFonts w:ascii="Times New Roman" w:eastAsia="Times New Roman" w:hAnsi="Times New Roman" w:cs="Times New Roman"/>
          <w:sz w:val="24"/>
          <w:szCs w:val="24"/>
        </w:rPr>
        <w:t>the reason must be transparent and foreseeable, meaning the contract at execution m</w:t>
      </w:r>
      <w:r>
        <w:rPr>
          <w:rFonts w:ascii="Times New Roman" w:eastAsia="Times New Roman" w:hAnsi="Times New Roman" w:cs="Times New Roman"/>
          <w:sz w:val="24"/>
          <w:szCs w:val="24"/>
        </w:rPr>
        <w:t>ust explicitly detail the precise conditions and methods triggering a modification so the consumer can clearly anticipate potential changes.</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Second, </w:t>
      </w:r>
      <w:r>
        <w:rPr>
          <w:rFonts w:ascii="Times New Roman" w:eastAsia="Times New Roman" w:hAnsi="Times New Roman" w:cs="Times New Roman"/>
          <w:sz w:val="24"/>
          <w:szCs w:val="24"/>
        </w:rPr>
        <w:t>the reason should rely on objective external factors such as shifting economic or regulatory realities rat</w:t>
      </w:r>
      <w:r>
        <w:rPr>
          <w:rFonts w:ascii="Times New Roman" w:eastAsia="Times New Roman" w:hAnsi="Times New Roman" w:cs="Times New Roman"/>
          <w:sz w:val="24"/>
          <w:szCs w:val="24"/>
        </w:rPr>
        <w:t xml:space="preserve">her than a company's unilateral interest in convenience or pure profit </w:t>
      </w:r>
      <w:proofErr w:type="spellStart"/>
      <w:r>
        <w:rPr>
          <w:rFonts w:ascii="Times New Roman" w:eastAsia="Times New Roman" w:hAnsi="Times New Roman" w:cs="Times New Roman"/>
          <w:sz w:val="24"/>
          <w:szCs w:val="24"/>
        </w:rPr>
        <w:t>maximisation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Third, </w:t>
      </w:r>
      <w:r>
        <w:rPr>
          <w:rFonts w:ascii="Times New Roman" w:eastAsia="Times New Roman" w:hAnsi="Times New Roman" w:cs="Times New Roman"/>
          <w:sz w:val="24"/>
          <w:szCs w:val="24"/>
        </w:rPr>
        <w:t>the reason must be expressed in plain, intelligible language so that an average consumer can easily understand its meaning and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accurately predict its impact</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Fina</w:t>
      </w:r>
      <w:r>
        <w:rPr>
          <w:rFonts w:ascii="Times New Roman" w:eastAsia="Times New Roman" w:hAnsi="Times New Roman" w:cs="Times New Roman"/>
          <w:b/>
          <w:bCs/>
          <w:sz w:val="24"/>
          <w:szCs w:val="24"/>
        </w:rPr>
        <w:t>lly</w:t>
      </w:r>
      <w:r>
        <w:rPr>
          <w:rFonts w:ascii="Times New Roman" w:eastAsia="Times New Roman" w:hAnsi="Times New Roman" w:cs="Times New Roman"/>
          <w:sz w:val="24"/>
          <w:szCs w:val="24"/>
        </w:rPr>
        <w:t>, to meet the standards of good faith, the price adjustment must be proportional and reasonable, ensuring that it is commensurate and not excessive as a cover for an unrelated profit increase.</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t>
      </w:r>
    </w:p>
    <w:p w14:paraId="0000001F" w14:textId="184F7E59"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74114D">
        <w:rPr>
          <w:rFonts w:ascii="Times New Roman" w:eastAsia="Times New Roman" w:hAnsi="Times New Roman" w:cs="Times New Roman"/>
          <w:sz w:val="24"/>
          <w:szCs w:val="24"/>
        </w:rPr>
        <w:t>four-criterion</w:t>
      </w:r>
      <w:r>
        <w:rPr>
          <w:rFonts w:ascii="Times New Roman" w:eastAsia="Times New Roman" w:hAnsi="Times New Roman" w:cs="Times New Roman"/>
          <w:sz w:val="24"/>
          <w:szCs w:val="24"/>
        </w:rPr>
        <w:t xml:space="preserve"> standard is not merely descriptive, it </w:t>
      </w:r>
      <w:r>
        <w:rPr>
          <w:rFonts w:ascii="Times New Roman" w:eastAsia="Times New Roman" w:hAnsi="Times New Roman" w:cs="Times New Roman"/>
          <w:sz w:val="24"/>
          <w:szCs w:val="24"/>
        </w:rPr>
        <w:t>reflects a deliberate legal necessity rooted in the framework underpinning the Court of Rome’s decision. Because digital adhesion contracts are, in the words of Article 3(1), “</w:t>
      </w:r>
      <w:r>
        <w:rPr>
          <w:rFonts w:ascii="Times New Roman" w:eastAsia="Times New Roman" w:hAnsi="Times New Roman" w:cs="Times New Roman"/>
          <w:i/>
          <w:iCs/>
          <w:sz w:val="24"/>
          <w:szCs w:val="24"/>
        </w:rPr>
        <w:t>not individually negotiated</w:t>
      </w:r>
      <w:r>
        <w:rPr>
          <w:rFonts w:ascii="Times New Roman" w:eastAsia="Times New Roman" w:hAnsi="Times New Roman" w:cs="Times New Roman"/>
          <w:sz w:val="24"/>
          <w:szCs w:val="24"/>
        </w:rPr>
        <w:t>,” the consumer always enters the agreement with no p</w:t>
      </w:r>
      <w:r>
        <w:rPr>
          <w:rFonts w:ascii="Times New Roman" w:eastAsia="Times New Roman" w:hAnsi="Times New Roman" w:cs="Times New Roman"/>
          <w:sz w:val="24"/>
          <w:szCs w:val="24"/>
        </w:rPr>
        <w:t xml:space="preserve">ower to object to these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clauses, precluding any </w:t>
      </w:r>
      <w:r>
        <w:rPr>
          <w:rFonts w:ascii="Times New Roman" w:eastAsia="Times New Roman" w:hAnsi="Times New Roman" w:cs="Times New Roman"/>
          <w:sz w:val="24"/>
          <w:szCs w:val="24"/>
        </w:rPr>
        <w:lastRenderedPageBreak/>
        <w:t>genuine consensus ad idem at the point of execution.</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Given this imbalance, the justified reason requirement is a tool for strictly assessing the fairness of unilateral variation clauses and prev</w:t>
      </w:r>
      <w:r>
        <w:rPr>
          <w:rFonts w:ascii="Times New Roman" w:eastAsia="Times New Roman" w:hAnsi="Times New Roman" w:cs="Times New Roman"/>
          <w:sz w:val="24"/>
          <w:szCs w:val="24"/>
        </w:rPr>
        <w:t>enting DSPs from unilateral price variations without a legitimate underlying cause simply because a clause tends to grant that power. Therefore, contracts lacking this safeguard violate the fundamental principle of fairness because they cause, in the words</w:t>
      </w:r>
      <w:r>
        <w:rPr>
          <w:rFonts w:ascii="Times New Roman" w:eastAsia="Times New Roman" w:hAnsi="Times New Roman" w:cs="Times New Roman"/>
          <w:sz w:val="24"/>
          <w:szCs w:val="24"/>
        </w:rPr>
        <w:t xml:space="preserve"> of Article 3(1), “</w:t>
      </w:r>
      <w:r>
        <w:rPr>
          <w:rFonts w:ascii="Times New Roman" w:eastAsia="Times New Roman" w:hAnsi="Times New Roman" w:cs="Times New Roman"/>
          <w:i/>
          <w:iCs/>
          <w:sz w:val="24"/>
          <w:szCs w:val="24"/>
        </w:rPr>
        <w:t>a significant imbalance in the parties' rights and obligations arising under the contract, to the detriment of the consumer</w:t>
      </w:r>
      <w:r>
        <w:rPr>
          <w:rFonts w:ascii="Times New Roman" w:eastAsia="Times New Roman" w:hAnsi="Times New Roman" w:cs="Times New Roman"/>
          <w:sz w:val="24"/>
          <w:szCs w:val="24"/>
        </w:rPr>
        <w:t>,” by leaving consumers bound to an unpredictable agreement where the price of the service, “</w:t>
      </w:r>
      <w:r>
        <w:rPr>
          <w:rFonts w:ascii="Times New Roman" w:eastAsia="Times New Roman" w:hAnsi="Times New Roman" w:cs="Times New Roman"/>
          <w:i/>
          <w:iCs/>
          <w:sz w:val="24"/>
          <w:szCs w:val="24"/>
        </w:rPr>
        <w:t>contrary to the requi</w:t>
      </w:r>
      <w:r>
        <w:rPr>
          <w:rFonts w:ascii="Times New Roman" w:eastAsia="Times New Roman" w:hAnsi="Times New Roman" w:cs="Times New Roman"/>
          <w:i/>
          <w:iCs/>
          <w:sz w:val="24"/>
          <w:szCs w:val="24"/>
        </w:rPr>
        <w:t>rement of good faith</w:t>
      </w:r>
      <w:r>
        <w:rPr>
          <w:rFonts w:ascii="Times New Roman" w:eastAsia="Times New Roman" w:hAnsi="Times New Roman" w:cs="Times New Roman"/>
          <w:sz w:val="24"/>
          <w:szCs w:val="24"/>
        </w:rPr>
        <w:t>" remains subject to the discretion of the DSP (the stronger party).</w:t>
      </w:r>
      <w:r>
        <w:rPr>
          <w:rFonts w:ascii="Times New Roman" w:eastAsia="Times New Roman" w:hAnsi="Times New Roman" w:cs="Times New Roman"/>
          <w:sz w:val="24"/>
          <w:szCs w:val="24"/>
          <w:vertAlign w:val="superscript"/>
        </w:rPr>
        <w:footnoteReference w:id="32"/>
      </w:r>
    </w:p>
    <w:p w14:paraId="00000020"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rationale also clarifies the deficiency of notice and exit clauses as they cannot automatically be used to cure an otherwise unilateral variation clause. Notice </w:t>
      </w:r>
      <w:r>
        <w:rPr>
          <w:rFonts w:ascii="Times New Roman" w:eastAsia="Times New Roman" w:hAnsi="Times New Roman" w:cs="Times New Roman"/>
          <w:sz w:val="24"/>
          <w:szCs w:val="24"/>
        </w:rPr>
        <w:t>and exit clauses merely tell the consumer that a change is coming and that they may leave if dissatisfied. The justified reason, by contrast, determines whether on the principle of fairness, the supplier was ever entitled to make the change in the first pl</w:t>
      </w:r>
      <w:r>
        <w:rPr>
          <w:rFonts w:ascii="Times New Roman" w:eastAsia="Times New Roman" w:hAnsi="Times New Roman" w:cs="Times New Roman"/>
          <w:sz w:val="24"/>
          <w:szCs w:val="24"/>
        </w:rPr>
        <w:t xml:space="preserve">ace. Therefore, even if a DSP gives notice and an option of exit, the core legal problem still remains, </w:t>
      </w:r>
      <w:r>
        <w:rPr>
          <w:rFonts w:ascii="Times New Roman" w:eastAsia="Times New Roman" w:hAnsi="Times New Roman" w:cs="Times New Roman"/>
          <w:i/>
          <w:iCs/>
          <w:sz w:val="24"/>
          <w:szCs w:val="24"/>
        </w:rPr>
        <w:t>the clause still gives the DSP a one-sided power to change prices that the consumer could not have given informed initial consent</w:t>
      </w:r>
      <w:r>
        <w:rPr>
          <w:rFonts w:ascii="Times New Roman" w:eastAsia="Times New Roman" w:hAnsi="Times New Roman" w:cs="Times New Roman"/>
          <w:sz w:val="24"/>
          <w:szCs w:val="24"/>
        </w:rPr>
        <w:t>. The cancellation thus</w:t>
      </w:r>
      <w:r>
        <w:rPr>
          <w:rFonts w:ascii="Times New Roman" w:eastAsia="Times New Roman" w:hAnsi="Times New Roman" w:cs="Times New Roman"/>
          <w:sz w:val="24"/>
          <w:szCs w:val="24"/>
        </w:rPr>
        <w:t xml:space="preserve"> becomes what the consumer does when a unilateral variation occurs, but it does nothing to establish the consumer’s consent, at the point of contracting, to the change now being imposed.</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Only a justified reason fairly allows the consumer’s original agreem</w:t>
      </w:r>
      <w:r>
        <w:rPr>
          <w:rFonts w:ascii="Times New Roman" w:eastAsia="Times New Roman" w:hAnsi="Times New Roman" w:cs="Times New Roman"/>
          <w:sz w:val="24"/>
          <w:szCs w:val="24"/>
        </w:rPr>
        <w:t>ent to extend meaningfully to the variation and transforms an unforeseeable imposition into a foreseeable application of terms the consumer effectively pre-approved.</w:t>
      </w:r>
    </w:p>
    <w:p w14:paraId="00000021"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necessity for a justified reason is also clearly understood when contrasted with physi</w:t>
      </w:r>
      <w:r>
        <w:rPr>
          <w:rFonts w:ascii="Times New Roman" w:eastAsia="Times New Roman" w:hAnsi="Times New Roman" w:cs="Times New Roman"/>
          <w:sz w:val="24"/>
          <w:szCs w:val="24"/>
        </w:rPr>
        <w:t>cal contracts, which are predicated on bilateral negotiation and formal amendment. Altering a signed agreement typically requires the other party's express consent through a supplemental agreement or addendum, since physical contracts are not "living" docu</w:t>
      </w:r>
      <w:r>
        <w:rPr>
          <w:rFonts w:ascii="Times New Roman" w:eastAsia="Times New Roman" w:hAnsi="Times New Roman" w:cs="Times New Roman"/>
          <w:sz w:val="24"/>
          <w:szCs w:val="24"/>
        </w:rPr>
        <w:t>ments that can be edited remotely.</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This inherent friction naturally safeguards the consumer, making the justified reason requirement unnecessary. Digital services on the other hand lack this friction entirely, as DSPs can alter prices on a corporate serve</w:t>
      </w:r>
      <w:r>
        <w:rPr>
          <w:rFonts w:ascii="Times New Roman" w:eastAsia="Times New Roman" w:hAnsi="Times New Roman" w:cs="Times New Roman"/>
          <w:sz w:val="24"/>
          <w:szCs w:val="24"/>
        </w:rPr>
        <w:t xml:space="preserve">r without any fresh signature or meeting of minds. </w:t>
      </w:r>
      <w:r>
        <w:rPr>
          <w:rFonts w:ascii="Times New Roman" w:eastAsia="Times New Roman" w:hAnsi="Times New Roman" w:cs="Times New Roman"/>
          <w:sz w:val="24"/>
          <w:szCs w:val="24"/>
        </w:rPr>
        <w:lastRenderedPageBreak/>
        <w:t xml:space="preserve">No doubt, mandating an objective, specific reason before any variation takes effect reinstates the balance physical agreements naturally preserve, ensuring digital convenience does not undermine mutuality </w:t>
      </w:r>
      <w:r>
        <w:rPr>
          <w:rFonts w:ascii="Times New Roman" w:eastAsia="Times New Roman" w:hAnsi="Times New Roman" w:cs="Times New Roman"/>
          <w:sz w:val="24"/>
          <w:szCs w:val="24"/>
        </w:rPr>
        <w:t>or turn a shared agreement into a tool controlled solely by the stronger party.</w:t>
      </w:r>
    </w:p>
    <w:p w14:paraId="00000022"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Court of Rome's treatment of Netflix's later amendments further gives this justified reason requirement practical weight. While the clauses governing 2017 to January 2024 were invalidated for vagueness, the court upheld the versions introduced in Janua</w:t>
      </w:r>
      <w:r>
        <w:rPr>
          <w:rFonts w:ascii="Times New Roman" w:eastAsia="Times New Roman" w:hAnsi="Times New Roman" w:cs="Times New Roman"/>
          <w:sz w:val="24"/>
          <w:szCs w:val="24"/>
        </w:rPr>
        <w:t>ry 2024 and April 2025, which anchored price variations to identifiable causes.</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This contrast shows the justified reason requirement is readily achievable once a DSP specifies, in advance, the objective circumstances that may trigger a variation. With the</w:t>
      </w:r>
      <w:r>
        <w:rPr>
          <w:rFonts w:ascii="Times New Roman" w:eastAsia="Times New Roman" w:hAnsi="Times New Roman" w:cs="Times New Roman"/>
          <w:sz w:val="24"/>
          <w:szCs w:val="24"/>
        </w:rPr>
        <w:t xml:space="preserve"> validity and necessity of this protective mechanism established,</w:t>
      </w:r>
      <w:r>
        <w:rPr>
          <w:rFonts w:ascii="Times New Roman" w:eastAsia="Times New Roman" w:hAnsi="Times New Roman" w:cs="Times New Roman"/>
          <w:i/>
          <w:iCs/>
          <w:sz w:val="24"/>
          <w:szCs w:val="24"/>
        </w:rPr>
        <w:t xml:space="preserve"> how then does the Nigerian consumer protection framework under the FCCPA address this issue of fairness, and what are the empirical realities of our own subscription market?</w:t>
      </w:r>
    </w:p>
    <w:p w14:paraId="00000023"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The Nigerian</w:t>
      </w:r>
      <w:r>
        <w:rPr>
          <w:rFonts w:ascii="Times New Roman" w:eastAsia="Times New Roman" w:hAnsi="Times New Roman" w:cs="Times New Roman"/>
          <w:b/>
          <w:bCs/>
          <w:sz w:val="24"/>
          <w:szCs w:val="24"/>
        </w:rPr>
        <w:t xml:space="preserve"> Regulatory Context: A Critical Evaluation of the FCCPA Framework, Contractual Gaps, and Empirical Market Realities</w:t>
      </w:r>
    </w:p>
    <w:p w14:paraId="00000024"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FCCPA was enacted in 2018 creating a landmark shift in the economic regulatory landscape of Nigeria. This statute formally established t</w:t>
      </w:r>
      <w:r>
        <w:rPr>
          <w:rFonts w:ascii="Times New Roman" w:eastAsia="Times New Roman" w:hAnsi="Times New Roman" w:cs="Times New Roman"/>
          <w:sz w:val="24"/>
          <w:szCs w:val="24"/>
        </w:rPr>
        <w:t>he FCCPC, thereby repealing the old Consumer Protection Council Act and introducing a comprehensive framework designed to promote market efficiency and consumer protection across all sectors. The FCCPA covers all commercial transactions with statutory cons</w:t>
      </w:r>
      <w:r>
        <w:rPr>
          <w:rFonts w:ascii="Times New Roman" w:eastAsia="Times New Roman" w:hAnsi="Times New Roman" w:cs="Times New Roman"/>
          <w:sz w:val="24"/>
          <w:szCs w:val="24"/>
        </w:rPr>
        <w:t>umer protection mandates with the principle of fairness amongst others at the forefront.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This principle directly alters how domestic and international businesses and DSPs interact with the Nigerian consumer base. Given this broad mandate for market fairne</w:t>
      </w:r>
      <w:r>
        <w:rPr>
          <w:rFonts w:ascii="Times New Roman" w:eastAsia="Times New Roman" w:hAnsi="Times New Roman" w:cs="Times New Roman"/>
          <w:sz w:val="24"/>
          <w:szCs w:val="24"/>
        </w:rPr>
        <w:t xml:space="preserve">ss, which specific provisions within this statutory framework serve as the primary mechanisms </w:t>
      </w:r>
      <w:r>
        <w:rPr>
          <w:rFonts w:ascii="Times New Roman" w:eastAsia="Times New Roman" w:hAnsi="Times New Roman" w:cs="Times New Roman"/>
          <w:i/>
          <w:iCs/>
          <w:sz w:val="24"/>
          <w:szCs w:val="24"/>
        </w:rPr>
        <w:t>for</w:t>
      </w:r>
      <w:r>
        <w:rPr>
          <w:rFonts w:ascii="Times New Roman" w:eastAsia="Times New Roman" w:hAnsi="Times New Roman" w:cs="Times New Roman"/>
          <w:sz w:val="24"/>
          <w:szCs w:val="24"/>
        </w:rPr>
        <w:t xml:space="preserve"> assessing the fairness of digital adhesion agreements?</w:t>
      </w:r>
    </w:p>
    <w:p w14:paraId="00000025"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The Statutory Foundation: Sections 127 and 129 of the FCCPA</w:t>
      </w:r>
    </w:p>
    <w:p w14:paraId="00000026"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and most closely related st</w:t>
      </w:r>
      <w:r>
        <w:rPr>
          <w:rFonts w:ascii="Times New Roman" w:eastAsia="Times New Roman" w:hAnsi="Times New Roman" w:cs="Times New Roman"/>
          <w:sz w:val="24"/>
          <w:szCs w:val="24"/>
        </w:rPr>
        <w:t xml:space="preserve">atutory provisions for checking the contractual excesses of digital adhesion contracts are found within Sections 127 and 129 of the Act. </w:t>
      </w:r>
      <w:r>
        <w:rPr>
          <w:rFonts w:ascii="Times New Roman" w:eastAsia="Times New Roman" w:hAnsi="Times New Roman" w:cs="Times New Roman"/>
          <w:b/>
          <w:bCs/>
          <w:sz w:val="24"/>
          <w:szCs w:val="24"/>
        </w:rPr>
        <w:t>Section 127</w:t>
      </w:r>
      <w:r>
        <w:rPr>
          <w:rFonts w:ascii="Times New Roman" w:eastAsia="Times New Roman" w:hAnsi="Times New Roman" w:cs="Times New Roman"/>
          <w:sz w:val="24"/>
          <w:szCs w:val="24"/>
        </w:rPr>
        <w:t xml:space="preserve">(I) strictly prohibits an undertaking from </w:t>
      </w:r>
      <w:r>
        <w:rPr>
          <w:rFonts w:ascii="Times New Roman" w:eastAsia="Times New Roman" w:hAnsi="Times New Roman" w:cs="Times New Roman"/>
          <w:i/>
          <w:iCs/>
          <w:sz w:val="24"/>
          <w:szCs w:val="24"/>
        </w:rPr>
        <w:t xml:space="preserve">(a) … entering into an agreement to supply … services … on terms </w:t>
      </w:r>
      <w:r>
        <w:rPr>
          <w:rFonts w:ascii="Times New Roman" w:eastAsia="Times New Roman" w:hAnsi="Times New Roman" w:cs="Times New Roman"/>
          <w:i/>
          <w:iCs/>
          <w:sz w:val="24"/>
          <w:szCs w:val="24"/>
        </w:rPr>
        <w:t xml:space="preserve">that are unfair, unreasonable or unjust; (b) marketing any … services, … entering </w:t>
      </w:r>
      <w:r>
        <w:rPr>
          <w:rFonts w:ascii="Times New Roman" w:eastAsia="Times New Roman" w:hAnsi="Times New Roman" w:cs="Times New Roman"/>
          <w:i/>
          <w:iCs/>
          <w:sz w:val="24"/>
          <w:szCs w:val="24"/>
        </w:rPr>
        <w:lastRenderedPageBreak/>
        <w:t>into …  an agreement for the supply of any goods or services, in a manner that is unfair, unreasonable or unjust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A term is classified as unfair under Section 127(2) if </w:t>
      </w:r>
      <w:r>
        <w:rPr>
          <w:rFonts w:ascii="Times New Roman" w:eastAsia="Times New Roman" w:hAnsi="Times New Roman" w:cs="Times New Roman"/>
          <w:i/>
          <w:iCs/>
          <w:sz w:val="24"/>
          <w:szCs w:val="24"/>
        </w:rPr>
        <w:t xml:space="preserve">(a) </w:t>
      </w:r>
      <w:r>
        <w:rPr>
          <w:rFonts w:ascii="Times New Roman" w:eastAsia="Times New Roman" w:hAnsi="Times New Roman" w:cs="Times New Roman"/>
          <w:i/>
          <w:iCs/>
          <w:sz w:val="24"/>
          <w:szCs w:val="24"/>
        </w:rPr>
        <w:t xml:space="preserve">it is excessively one-sided in </w:t>
      </w:r>
      <w:proofErr w:type="spellStart"/>
      <w:r>
        <w:rPr>
          <w:rFonts w:ascii="Times New Roman" w:eastAsia="Times New Roman" w:hAnsi="Times New Roman" w:cs="Times New Roman"/>
          <w:i/>
          <w:iCs/>
          <w:sz w:val="24"/>
          <w:szCs w:val="24"/>
        </w:rPr>
        <w:t>favour</w:t>
      </w:r>
      <w:proofErr w:type="spellEnd"/>
      <w:r>
        <w:rPr>
          <w:rFonts w:ascii="Times New Roman" w:eastAsia="Times New Roman" w:hAnsi="Times New Roman" w:cs="Times New Roman"/>
          <w:i/>
          <w:iCs/>
          <w:sz w:val="24"/>
          <w:szCs w:val="24"/>
        </w:rPr>
        <w:t xml:space="preserve"> of any person other than the consumer or other person to whom goods or services are to be supplied; (b) the terms of the transaction or agreement are </w:t>
      </w:r>
      <w:proofErr w:type="gramStart"/>
      <w:r>
        <w:rPr>
          <w:rFonts w:ascii="Times New Roman" w:eastAsia="Times New Roman" w:hAnsi="Times New Roman" w:cs="Times New Roman"/>
          <w:i/>
          <w:iCs/>
          <w:sz w:val="24"/>
          <w:szCs w:val="24"/>
        </w:rPr>
        <w:t>so</w:t>
      </w:r>
      <w:proofErr w:type="gramEnd"/>
      <w:r>
        <w:rPr>
          <w:rFonts w:ascii="Times New Roman" w:eastAsia="Times New Roman" w:hAnsi="Times New Roman" w:cs="Times New Roman"/>
          <w:i/>
          <w:iCs/>
          <w:sz w:val="24"/>
          <w:szCs w:val="24"/>
        </w:rPr>
        <w:t xml:space="preserve"> adverse to the consumer as to be inequitable</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Section 129</w:t>
      </w:r>
      <w:r>
        <w:rPr>
          <w:rFonts w:ascii="Times New Roman" w:eastAsia="Times New Roman" w:hAnsi="Times New Roman" w:cs="Times New Roman"/>
          <w:sz w:val="24"/>
          <w:szCs w:val="24"/>
        </w:rPr>
        <w:t>(1) rei</w:t>
      </w:r>
      <w:r>
        <w:rPr>
          <w:rFonts w:ascii="Times New Roman" w:eastAsia="Times New Roman" w:hAnsi="Times New Roman" w:cs="Times New Roman"/>
          <w:sz w:val="24"/>
          <w:szCs w:val="24"/>
        </w:rPr>
        <w:t xml:space="preserve">nforces this by stating that </w:t>
      </w:r>
      <w:r>
        <w:rPr>
          <w:rFonts w:ascii="Times New Roman" w:eastAsia="Times New Roman" w:hAnsi="Times New Roman" w:cs="Times New Roman"/>
          <w:i/>
          <w:iCs/>
          <w:sz w:val="24"/>
          <w:szCs w:val="24"/>
        </w:rPr>
        <w:t xml:space="preserve">an undertaking shall not make a transaction or agreement subject to any term or condition if (a) its general purpose or effect is to defeat the purposes and policy of this Act……. (b) </w:t>
      </w:r>
      <w:proofErr w:type="gramStart"/>
      <w:r>
        <w:rPr>
          <w:rFonts w:ascii="Times New Roman" w:eastAsia="Times New Roman" w:hAnsi="Times New Roman" w:cs="Times New Roman"/>
          <w:i/>
          <w:iCs/>
          <w:sz w:val="24"/>
          <w:szCs w:val="24"/>
        </w:rPr>
        <w:t>it</w:t>
      </w:r>
      <w:proofErr w:type="gramEnd"/>
      <w:r>
        <w:rPr>
          <w:rFonts w:ascii="Times New Roman" w:eastAsia="Times New Roman" w:hAnsi="Times New Roman" w:cs="Times New Roman"/>
          <w:i/>
          <w:iCs/>
          <w:sz w:val="24"/>
          <w:szCs w:val="24"/>
        </w:rPr>
        <w:t xml:space="preserve"> directly or indirectly purports to (iii) </w:t>
      </w:r>
      <w:r>
        <w:rPr>
          <w:rFonts w:ascii="Times New Roman" w:eastAsia="Times New Roman" w:hAnsi="Times New Roman" w:cs="Times New Roman"/>
          <w:i/>
          <w:iCs/>
          <w:sz w:val="24"/>
          <w:szCs w:val="24"/>
        </w:rPr>
        <w:t>set aside or override the effect of any provision of this Act.</w:t>
      </w:r>
      <w:r>
        <w:rPr>
          <w:rFonts w:ascii="Times New Roman" w:eastAsia="Times New Roman" w:hAnsi="Times New Roman" w:cs="Times New Roman"/>
          <w:i/>
          <w:iCs/>
          <w:sz w:val="24"/>
          <w:szCs w:val="24"/>
          <w:vertAlign w:val="superscript"/>
        </w:rPr>
        <w:footnoteReference w:id="39"/>
      </w:r>
      <w:r>
        <w:rPr>
          <w:rFonts w:ascii="Times New Roman" w:eastAsia="Times New Roman" w:hAnsi="Times New Roman" w:cs="Times New Roman"/>
          <w:sz w:val="24"/>
          <w:szCs w:val="24"/>
        </w:rPr>
        <w:t xml:space="preserve"> These provisions of the FCCPA are the only provisions that establish a defensive shield against unfairness, injustice and introduction of predatory clauses and terms by business owners and DSP</w:t>
      </w:r>
      <w:r>
        <w:rPr>
          <w:rFonts w:ascii="Times New Roman" w:eastAsia="Times New Roman" w:hAnsi="Times New Roman" w:cs="Times New Roman"/>
          <w:sz w:val="24"/>
          <w:szCs w:val="24"/>
        </w:rPr>
        <w:t xml:space="preserve">s in Nigeria. </w:t>
      </w:r>
    </w:p>
    <w:p w14:paraId="00000027"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The Regulatory Lacuna: The Omission of "Justified Reason" and Mandatory Notice</w:t>
      </w:r>
    </w:p>
    <w:p w14:paraId="00000028" w14:textId="53ED658E"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127 and 129 of FCCPA clearly restricts and prohibits business and DSPs from including in their contracts unfair and unjust terms which are one sided i</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of the DSP and against the consumer. Notwithstanding this, the FCCPA, unlike its counterparts such as the EU Directive 93/13/EEC or the Italian Consumer Code, still completely lacks an explicit, codified and dedicated provision of "justified reaso</w:t>
      </w:r>
      <w:r>
        <w:rPr>
          <w:rFonts w:ascii="Times New Roman" w:eastAsia="Times New Roman" w:hAnsi="Times New Roman" w:cs="Times New Roman"/>
          <w:sz w:val="24"/>
          <w:szCs w:val="24"/>
        </w:rPr>
        <w:t>n" requirement mandating that a unilateral variation must be anchored to an objective, pre-defined triggers to be considered fair and valid. This legislative silence means that the concept of a justified reason does not exist as a distinct and specified st</w:t>
      </w:r>
      <w:r>
        <w:rPr>
          <w:rFonts w:ascii="Times New Roman" w:eastAsia="Times New Roman" w:hAnsi="Times New Roman" w:cs="Times New Roman"/>
          <w:sz w:val="24"/>
          <w:szCs w:val="24"/>
        </w:rPr>
        <w:t>atutory test for fairness and consumer protection in Nigerian consumer jurisprudence. It also means that digital consumer rights in Nigeria with regards to protection against unilateral variations from a weaker position as parties to a digital adhesion con</w:t>
      </w:r>
      <w:r>
        <w:rPr>
          <w:rFonts w:ascii="Times New Roman" w:eastAsia="Times New Roman" w:hAnsi="Times New Roman" w:cs="Times New Roman"/>
          <w:sz w:val="24"/>
          <w:szCs w:val="24"/>
        </w:rPr>
        <w:t xml:space="preserve">tract can, and if desired and considered, only be contested under the general, open-ended "unfair </w:t>
      </w:r>
      <w:r w:rsidR="0074114D">
        <w:rPr>
          <w:rFonts w:ascii="Times New Roman" w:eastAsia="Times New Roman" w:hAnsi="Times New Roman" w:cs="Times New Roman"/>
          <w:sz w:val="24"/>
          <w:szCs w:val="24"/>
        </w:rPr>
        <w:t xml:space="preserve">terms" provisions contained in </w:t>
      </w:r>
      <w:bookmarkStart w:id="0" w:name="_GoBack"/>
      <w:bookmarkEnd w:id="0"/>
      <w:r>
        <w:rPr>
          <w:rFonts w:ascii="Times New Roman" w:eastAsia="Times New Roman" w:hAnsi="Times New Roman" w:cs="Times New Roman"/>
          <w:sz w:val="24"/>
          <w:szCs w:val="24"/>
        </w:rPr>
        <w:t>the FCCPA.</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w:t>
      </w:r>
    </w:p>
    <w:p w14:paraId="00000029" w14:textId="77777777" w:rsidR="00AF5996" w:rsidRDefault="00083456">
      <w:pPr>
        <w:spacing w:before="240" w:after="24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Sadly, a critical look at the FCCPA also reveals that asides the absence of a codification of the justified reaso</w:t>
      </w:r>
      <w:r>
        <w:rPr>
          <w:rFonts w:ascii="Times New Roman" w:eastAsia="Times New Roman" w:hAnsi="Times New Roman" w:cs="Times New Roman"/>
          <w:sz w:val="24"/>
          <w:szCs w:val="24"/>
        </w:rPr>
        <w:t>n requirement, there is also still no codification of the duty of the DSPs to give notice of price variation of services offered to the consumers in Nigeria. While Nigerian DSPs routinely provide notice and exit options despite no express requirement in th</w:t>
      </w:r>
      <w:r>
        <w:rPr>
          <w:rFonts w:ascii="Times New Roman" w:eastAsia="Times New Roman" w:hAnsi="Times New Roman" w:cs="Times New Roman"/>
          <w:sz w:val="24"/>
          <w:szCs w:val="24"/>
        </w:rPr>
        <w:t xml:space="preserve">e FCCPA, the </w:t>
      </w:r>
      <w:r>
        <w:rPr>
          <w:rFonts w:ascii="Times New Roman" w:eastAsia="Times New Roman" w:hAnsi="Times New Roman" w:cs="Times New Roman"/>
          <w:sz w:val="24"/>
          <w:szCs w:val="24"/>
        </w:rPr>
        <w:lastRenderedPageBreak/>
        <w:t>lack of a statutory "</w:t>
      </w:r>
      <w:r>
        <w:rPr>
          <w:rFonts w:ascii="Times New Roman" w:eastAsia="Times New Roman" w:hAnsi="Times New Roman" w:cs="Times New Roman"/>
          <w:i/>
          <w:iCs/>
          <w:sz w:val="24"/>
          <w:szCs w:val="24"/>
        </w:rPr>
        <w:t>justified reason</w:t>
      </w:r>
      <w:r>
        <w:rPr>
          <w:rFonts w:ascii="Times New Roman" w:eastAsia="Times New Roman" w:hAnsi="Times New Roman" w:cs="Times New Roman"/>
          <w:sz w:val="24"/>
          <w:szCs w:val="24"/>
        </w:rPr>
        <w:t xml:space="preserve">" standard leaves consumers vulnerable. </w:t>
      </w:r>
      <w:r>
        <w:rPr>
          <w:rFonts w:ascii="Times New Roman" w:eastAsia="Times New Roman" w:hAnsi="Times New Roman" w:cs="Times New Roman"/>
          <w:i/>
          <w:iCs/>
          <w:sz w:val="24"/>
          <w:szCs w:val="24"/>
        </w:rPr>
        <w:t>How then does this statutory loophole of justified reason manifest in the actual Nigerian digital market, and what practical challenges arise when attempts are made t</w:t>
      </w:r>
      <w:r>
        <w:rPr>
          <w:rFonts w:ascii="Times New Roman" w:eastAsia="Times New Roman" w:hAnsi="Times New Roman" w:cs="Times New Roman"/>
          <w:i/>
          <w:iCs/>
          <w:sz w:val="24"/>
          <w:szCs w:val="24"/>
        </w:rPr>
        <w:t>o check arbitrary price adjustments in the absence of this clear legal standard?</w:t>
      </w:r>
    </w:p>
    <w:p w14:paraId="0000002A"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 Empirical Market Manifestations and the Need for Justified Reason: Arbitrary Pricing Trends in Nigeria’s Digital Space and the Multi Choice Precedent</w:t>
      </w:r>
    </w:p>
    <w:p w14:paraId="0000002B"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evidence from the Nigerian market reveals a pattern of frequent price adjustments across major digital platforms, which operate since there is no clear statutory requirement to provide a market-specific "justified reason" for their actions. F</w:t>
      </w:r>
      <w:r>
        <w:rPr>
          <w:rFonts w:ascii="Times New Roman" w:eastAsia="Times New Roman" w:hAnsi="Times New Roman" w:cs="Times New Roman"/>
          <w:sz w:val="24"/>
          <w:szCs w:val="24"/>
        </w:rPr>
        <w:t xml:space="preserve">or example between April 2024 and July 2025, </w:t>
      </w:r>
      <w:r>
        <w:rPr>
          <w:rFonts w:ascii="Times New Roman" w:eastAsia="Times New Roman" w:hAnsi="Times New Roman" w:cs="Times New Roman"/>
          <w:b/>
          <w:bCs/>
          <w:sz w:val="24"/>
          <w:szCs w:val="24"/>
        </w:rPr>
        <w:t>Netflix Nigeria</w:t>
      </w:r>
      <w:r>
        <w:rPr>
          <w:rFonts w:ascii="Times New Roman" w:eastAsia="Times New Roman" w:hAnsi="Times New Roman" w:cs="Times New Roman"/>
          <w:sz w:val="24"/>
          <w:szCs w:val="24"/>
        </w:rPr>
        <w:t xml:space="preserve"> implemented multiple subscription price hikes across its tiers, culminating in the Premium plan reaching ₦8,500. Instead of offering transparent, specific justifications for these local adjustmen</w:t>
      </w:r>
      <w:r>
        <w:rPr>
          <w:rFonts w:ascii="Times New Roman" w:eastAsia="Times New Roman" w:hAnsi="Times New Roman" w:cs="Times New Roman"/>
          <w:sz w:val="24"/>
          <w:szCs w:val="24"/>
        </w:rPr>
        <w:t>ts, the company merely issued vague corporate statements attributing the increases to its global strategy of reinvesting subscription revenue to continuously develop and scale its service platform.</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Spotify</w:t>
      </w:r>
      <w:r>
        <w:rPr>
          <w:rFonts w:ascii="Times New Roman" w:eastAsia="Times New Roman" w:hAnsi="Times New Roman" w:cs="Times New Roman"/>
          <w:sz w:val="24"/>
          <w:szCs w:val="24"/>
        </w:rPr>
        <w:t xml:space="preserve"> increased its Premium Individual tier from ₦900 t</w:t>
      </w:r>
      <w:r>
        <w:rPr>
          <w:rFonts w:ascii="Times New Roman" w:eastAsia="Times New Roman" w:hAnsi="Times New Roman" w:cs="Times New Roman"/>
          <w:sz w:val="24"/>
          <w:szCs w:val="24"/>
        </w:rPr>
        <w:t>o ₦1,300 in 2024, and has since raised the price to ₦1,600 per month while citing "innovation" requirements as reason.</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YouTube</w:t>
      </w:r>
      <w:r>
        <w:rPr>
          <w:rFonts w:ascii="Times New Roman" w:eastAsia="Times New Roman" w:hAnsi="Times New Roman" w:cs="Times New Roman"/>
          <w:sz w:val="24"/>
          <w:szCs w:val="24"/>
        </w:rPr>
        <w:t xml:space="preserve"> implemented aggressive hikes in April 2025, increasing the Individual plan from ₦900 to ₦1,300 and subsequently to ₦1,700; and t</w:t>
      </w:r>
      <w:r>
        <w:rPr>
          <w:rFonts w:ascii="Times New Roman" w:eastAsia="Times New Roman" w:hAnsi="Times New Roman" w:cs="Times New Roman"/>
          <w:sz w:val="24"/>
          <w:szCs w:val="24"/>
        </w:rPr>
        <w:t>he Family plan from ₦1,400 to ₦2,000 subsequently reaching ₦2,800 under the guise of “general service delivery.”</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Apple Music</w:t>
      </w:r>
      <w:r>
        <w:rPr>
          <w:rFonts w:ascii="Times New Roman" w:eastAsia="Times New Roman" w:hAnsi="Times New Roman" w:cs="Times New Roman"/>
          <w:sz w:val="24"/>
          <w:szCs w:val="24"/>
        </w:rPr>
        <w:t xml:space="preserve"> also increased subscription fees from ₦900 to ₦1,000 in 2022, followed by a 30% jump to ₦1,300 in June 2025.</w:t>
      </w:r>
      <w:r>
        <w:rPr>
          <w:rFonts w:ascii="Times New Roman" w:eastAsia="Times New Roman" w:hAnsi="Times New Roman" w:cs="Times New Roman"/>
          <w:sz w:val="24"/>
          <w:szCs w:val="24"/>
          <w:vertAlign w:val="superscript"/>
        </w:rPr>
        <w:footnoteReference w:id="44"/>
      </w:r>
    </w:p>
    <w:p w14:paraId="0000002C"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understan</w:t>
      </w:r>
      <w:r>
        <w:rPr>
          <w:rFonts w:ascii="Times New Roman" w:eastAsia="Times New Roman" w:hAnsi="Times New Roman" w:cs="Times New Roman"/>
          <w:sz w:val="24"/>
          <w:szCs w:val="24"/>
        </w:rPr>
        <w:t xml:space="preserve">d the gravity of the absence of the justified reason requirement in the FCCPA, it is imperative to consider the legal friction between the FCCPC and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xml:space="preserve"> Nigeria in early 2025. In February 2025,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xml:space="preserve"> announced unilateral tariff adjustments ac</w:t>
      </w:r>
      <w:r>
        <w:rPr>
          <w:rFonts w:ascii="Times New Roman" w:eastAsia="Times New Roman" w:hAnsi="Times New Roman" w:cs="Times New Roman"/>
          <w:sz w:val="24"/>
          <w:szCs w:val="24"/>
        </w:rPr>
        <w:t xml:space="preserve">ross its </w:t>
      </w:r>
      <w:proofErr w:type="spellStart"/>
      <w:r>
        <w:rPr>
          <w:rFonts w:ascii="Times New Roman" w:eastAsia="Times New Roman" w:hAnsi="Times New Roman" w:cs="Times New Roman"/>
          <w:sz w:val="24"/>
          <w:szCs w:val="24"/>
        </w:rPr>
        <w:t>DStv</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GOtv</w:t>
      </w:r>
      <w:proofErr w:type="spellEnd"/>
      <w:r>
        <w:rPr>
          <w:rFonts w:ascii="Times New Roman" w:eastAsia="Times New Roman" w:hAnsi="Times New Roman" w:cs="Times New Roman"/>
          <w:sz w:val="24"/>
          <w:szCs w:val="24"/>
        </w:rPr>
        <w:t xml:space="preserve"> packages, effective March 1, 2025.</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The FCCPC promptly directed </w:t>
      </w:r>
      <w:r>
        <w:rPr>
          <w:rFonts w:ascii="Times New Roman" w:eastAsia="Times New Roman" w:hAnsi="Times New Roman" w:cs="Times New Roman"/>
          <w:sz w:val="24"/>
          <w:szCs w:val="24"/>
        </w:rPr>
        <w:lastRenderedPageBreak/>
        <w:t xml:space="preserve">the suspension of the increase pending regulatory review, but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xml:space="preserve"> proceeded regardless, prompting the FCCPC to threaten enforcement action.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xml:space="preserve"> responded</w:t>
      </w:r>
      <w:r>
        <w:rPr>
          <w:rFonts w:ascii="Times New Roman" w:eastAsia="Times New Roman" w:hAnsi="Times New Roman" w:cs="Times New Roman"/>
          <w:sz w:val="24"/>
          <w:szCs w:val="24"/>
        </w:rPr>
        <w:t xml:space="preserve"> by filing suit against the FCCPC at the Federal High Court in Abuja, seeking to restrain the Commission from taking any administrative steps against it. On May 8, 2025, the Court in striking out the suit, made several substantive findings favorable to </w:t>
      </w:r>
      <w:proofErr w:type="spellStart"/>
      <w:r>
        <w:rPr>
          <w:rFonts w:ascii="Times New Roman" w:eastAsia="Times New Roman" w:hAnsi="Times New Roman" w:cs="Times New Roman"/>
          <w:sz w:val="24"/>
          <w:szCs w:val="24"/>
        </w:rPr>
        <w:t>Mul</w:t>
      </w:r>
      <w:r>
        <w:rPr>
          <w:rFonts w:ascii="Times New Roman" w:eastAsia="Times New Roman" w:hAnsi="Times New Roman" w:cs="Times New Roman"/>
          <w:sz w:val="24"/>
          <w:szCs w:val="24"/>
        </w:rPr>
        <w:t>tiChoice</w:t>
      </w:r>
      <w:proofErr w:type="spellEnd"/>
      <w:r>
        <w:rPr>
          <w:rFonts w:ascii="Times New Roman" w:eastAsia="Times New Roman" w:hAnsi="Times New Roman" w:cs="Times New Roman"/>
          <w:sz w:val="24"/>
          <w:szCs w:val="24"/>
        </w:rPr>
        <w:t xml:space="preserve"> among others namely that Nigeria operates a free market economy in which DSPs, including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are at liberty to set their own prices, FCCPC has the power to investigate exploitative pricing practices,</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any fixed pricing decision by the FCC</w:t>
      </w:r>
      <w:r>
        <w:rPr>
          <w:rFonts w:ascii="Times New Roman" w:eastAsia="Times New Roman" w:hAnsi="Times New Roman" w:cs="Times New Roman"/>
          <w:sz w:val="24"/>
          <w:szCs w:val="24"/>
        </w:rPr>
        <w:t>PC would be a nullity absent proper delegation of price control authority from the President,</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that the FCCPC’s suspension directive had breached </w:t>
      </w:r>
      <w:proofErr w:type="spellStart"/>
      <w:r>
        <w:rPr>
          <w:rFonts w:ascii="Times New Roman" w:eastAsia="Times New Roman" w:hAnsi="Times New Roman" w:cs="Times New Roman"/>
          <w:sz w:val="24"/>
          <w:szCs w:val="24"/>
        </w:rPr>
        <w:t>MultiChoice’s</w:t>
      </w:r>
      <w:proofErr w:type="spellEnd"/>
      <w:r>
        <w:rPr>
          <w:rFonts w:ascii="Times New Roman" w:eastAsia="Times New Roman" w:hAnsi="Times New Roman" w:cs="Times New Roman"/>
          <w:sz w:val="24"/>
          <w:szCs w:val="24"/>
        </w:rPr>
        <w:t xml:space="preserve"> right to fair hearing and appeared selectively enforced.</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w:t>
      </w:r>
    </w:p>
    <w:p w14:paraId="0000002D" w14:textId="77777777" w:rsidR="00AF5996" w:rsidRDefault="00083456">
      <w:pPr>
        <w:spacing w:before="240" w:after="24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This case exposes a structural gap in</w:t>
      </w:r>
      <w:r>
        <w:rPr>
          <w:rFonts w:ascii="Times New Roman" w:eastAsia="Times New Roman" w:hAnsi="Times New Roman" w:cs="Times New Roman"/>
          <w:sz w:val="24"/>
          <w:szCs w:val="24"/>
        </w:rPr>
        <w:t xml:space="preserve"> the FCCPA, which includes the absence of a codified “justified reason” requirement for unilateral price variations. This loophole reduced the FCCPC to deploying a desperate, overreaching administrative maneuver in the form of an </w:t>
      </w:r>
      <w:r>
        <w:rPr>
          <w:rFonts w:ascii="Times New Roman" w:eastAsia="Times New Roman" w:hAnsi="Times New Roman" w:cs="Times New Roman"/>
          <w:i/>
          <w:iCs/>
          <w:sz w:val="24"/>
          <w:szCs w:val="24"/>
        </w:rPr>
        <w:t xml:space="preserve">extra-legal </w:t>
      </w:r>
      <w:r>
        <w:rPr>
          <w:rFonts w:ascii="Times New Roman" w:eastAsia="Times New Roman" w:hAnsi="Times New Roman" w:cs="Times New Roman"/>
          <w:sz w:val="24"/>
          <w:szCs w:val="24"/>
        </w:rPr>
        <w:t xml:space="preserve">price freeze. </w:t>
      </w:r>
      <w:r>
        <w:rPr>
          <w:rFonts w:ascii="Times New Roman" w:eastAsia="Times New Roman" w:hAnsi="Times New Roman" w:cs="Times New Roman"/>
          <w:sz w:val="24"/>
          <w:szCs w:val="24"/>
        </w:rPr>
        <w:t xml:space="preserve">Had such a standard been codified in the FCCPA, the burden would have rested on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xml:space="preserve"> from the outset to provide a justified reason justifying the price increase before implementation. The FCCPC would never have needed to overstep its bounds with a r</w:t>
      </w:r>
      <w:r>
        <w:rPr>
          <w:rFonts w:ascii="Times New Roman" w:eastAsia="Times New Roman" w:hAnsi="Times New Roman" w:cs="Times New Roman"/>
          <w:sz w:val="24"/>
          <w:szCs w:val="24"/>
        </w:rPr>
        <w:t>eactionary suspension directive. One thing is certain, until the “justified reason” doctrine is firmly integrated into the FCCPA, Nigerian consumers will remain unprotected from arbitrary price variations in digital adhesion contracts, and the FCCPC will c</w:t>
      </w:r>
      <w:r>
        <w:rPr>
          <w:rFonts w:ascii="Times New Roman" w:eastAsia="Times New Roman" w:hAnsi="Times New Roman" w:cs="Times New Roman"/>
          <w:sz w:val="24"/>
          <w:szCs w:val="24"/>
        </w:rPr>
        <w:t xml:space="preserve">ontinue to be ill-equipped to check such variations without triggering embarrassing judicial setbacks. </w:t>
      </w:r>
      <w:r>
        <w:rPr>
          <w:rFonts w:ascii="Times New Roman" w:eastAsia="Times New Roman" w:hAnsi="Times New Roman" w:cs="Times New Roman"/>
          <w:i/>
          <w:iCs/>
          <w:sz w:val="24"/>
          <w:szCs w:val="24"/>
        </w:rPr>
        <w:t xml:space="preserve">What specific lessons and strategic remedies then, can Nigeria learn from the Court of Rome's decision to resolve these institutional gaps? </w:t>
      </w:r>
    </w:p>
    <w:p w14:paraId="0000002E"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 Paradigm</w:t>
      </w:r>
      <w:r>
        <w:rPr>
          <w:rFonts w:ascii="Times New Roman" w:eastAsia="Times New Roman" w:hAnsi="Times New Roman" w:cs="Times New Roman"/>
          <w:b/>
          <w:bCs/>
          <w:sz w:val="24"/>
          <w:szCs w:val="24"/>
        </w:rPr>
        <w:t xml:space="preserve"> Shift in Digital Market Regulation: Lessons from the Netflix Case and Strategic Recommendations for Nigeria </w:t>
      </w:r>
    </w:p>
    <w:p w14:paraId="0000002F"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 Codification of the Justified Reason Doctrine and Statutory Guidelines</w:t>
      </w:r>
    </w:p>
    <w:p w14:paraId="00000030"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FCCPA should be amended to strictly provide for a period of notice </w:t>
      </w:r>
      <w:r>
        <w:rPr>
          <w:rFonts w:ascii="Times New Roman" w:eastAsia="Times New Roman" w:hAnsi="Times New Roman" w:cs="Times New Roman"/>
          <w:sz w:val="24"/>
          <w:szCs w:val="24"/>
        </w:rPr>
        <w:t xml:space="preserve">before alteration of terms of a digital adhesion contract subject to compliance with the inclusion of a justified </w:t>
      </w:r>
      <w:r>
        <w:rPr>
          <w:rFonts w:ascii="Times New Roman" w:eastAsia="Times New Roman" w:hAnsi="Times New Roman" w:cs="Times New Roman"/>
          <w:sz w:val="24"/>
          <w:szCs w:val="24"/>
        </w:rPr>
        <w:lastRenderedPageBreak/>
        <w:t xml:space="preserve">reason necessitating the change. Additionally, </w:t>
      </w:r>
      <w:proofErr w:type="spellStart"/>
      <w:r>
        <w:rPr>
          <w:rFonts w:ascii="Times New Roman" w:eastAsia="Times New Roman" w:hAnsi="Times New Roman" w:cs="Times New Roman"/>
          <w:sz w:val="24"/>
          <w:szCs w:val="24"/>
        </w:rPr>
        <w:t>utilising</w:t>
      </w:r>
      <w:proofErr w:type="spellEnd"/>
      <w:r>
        <w:rPr>
          <w:rFonts w:ascii="Times New Roman" w:eastAsia="Times New Roman" w:hAnsi="Times New Roman" w:cs="Times New Roman"/>
          <w:sz w:val="24"/>
          <w:szCs w:val="24"/>
        </w:rPr>
        <w:t xml:space="preserve"> the inherent statutory powers provided under Section 163 of the FCCPA, the FCCPC shou</w:t>
      </w:r>
      <w:r>
        <w:rPr>
          <w:rFonts w:ascii="Times New Roman" w:eastAsia="Times New Roman" w:hAnsi="Times New Roman" w:cs="Times New Roman"/>
          <w:sz w:val="24"/>
          <w:szCs w:val="24"/>
        </w:rPr>
        <w:t xml:space="preserve">ld develop and issue a dedicated </w:t>
      </w:r>
      <w:r>
        <w:rPr>
          <w:rFonts w:ascii="Times New Roman" w:eastAsia="Times New Roman" w:hAnsi="Times New Roman" w:cs="Times New Roman"/>
          <w:b/>
          <w:bCs/>
          <w:i/>
          <w:iCs/>
          <w:sz w:val="24"/>
          <w:szCs w:val="24"/>
        </w:rPr>
        <w:t>Guideline on Digital Adhesion Contracts and Price Variations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to import the justified reason doctrine into the Nigerian commercial sphere. Under this guideline, unfair terms should be properly discussed and any clause reserv</w:t>
      </w:r>
      <w:r>
        <w:rPr>
          <w:rFonts w:ascii="Times New Roman" w:eastAsia="Times New Roman" w:hAnsi="Times New Roman" w:cs="Times New Roman"/>
          <w:sz w:val="24"/>
          <w:szCs w:val="24"/>
        </w:rPr>
        <w:t>ing the right to unilaterally alter subscription fees or service terms must be deemed prima facie unfair unless a justified reason is stated as a condition necessitating the change and notice of the change is explicitly provided.</w:t>
      </w:r>
    </w:p>
    <w:p w14:paraId="00000031"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Implementation of Cont</w:t>
      </w:r>
      <w:r>
        <w:rPr>
          <w:rFonts w:ascii="Times New Roman" w:eastAsia="Times New Roman" w:hAnsi="Times New Roman" w:cs="Times New Roman"/>
          <w:b/>
          <w:bCs/>
          <w:sz w:val="24"/>
          <w:szCs w:val="24"/>
        </w:rPr>
        <w:t>ractual Black and Grey Lists and Transparency Mandates</w:t>
      </w:r>
    </w:p>
    <w:p w14:paraId="00000032"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regulatory guidelines should establish definitive black and grey lists identifying unfair terms in standard form agreements to enhance legal certainty. Clauses granting DSPs unfettered dis</w:t>
      </w:r>
      <w:r>
        <w:rPr>
          <w:rFonts w:ascii="Times New Roman" w:eastAsia="Times New Roman" w:hAnsi="Times New Roman" w:cs="Times New Roman"/>
          <w:sz w:val="24"/>
          <w:szCs w:val="24"/>
        </w:rPr>
        <w:t>cretion to alter contract prices without clear justification, such as vague "from time to time" updates, must be blacklisted and rendered automatically unenforceable. Terms concerning specific price adjustment mechanisms, liability limitations, or post ter</w:t>
      </w:r>
      <w:r>
        <w:rPr>
          <w:rFonts w:ascii="Times New Roman" w:eastAsia="Times New Roman" w:hAnsi="Times New Roman" w:cs="Times New Roman"/>
          <w:sz w:val="24"/>
          <w:szCs w:val="24"/>
        </w:rPr>
        <w:t>mination data use should be grey listed, making them presumptively unfair unless the provider demonstrates strict necessity and proportionality. Platforms must also deploy mandatory layered disclosures, displaying prominent summary format notices highlight</w:t>
      </w:r>
      <w:r>
        <w:rPr>
          <w:rFonts w:ascii="Times New Roman" w:eastAsia="Times New Roman" w:hAnsi="Times New Roman" w:cs="Times New Roman"/>
          <w:sz w:val="24"/>
          <w:szCs w:val="24"/>
        </w:rPr>
        <w:t>ing variation triggers at sign up whilst maintaining an accessible version history of all contractual terms.</w:t>
      </w:r>
    </w:p>
    <w:p w14:paraId="00000033"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 Transition to Proactive Oversight through Registry and Pre Notification Systems</w:t>
      </w:r>
    </w:p>
    <w:p w14:paraId="00000034"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FCCPC should establish a </w:t>
      </w:r>
      <w:proofErr w:type="spellStart"/>
      <w:r>
        <w:rPr>
          <w:rFonts w:ascii="Times New Roman" w:eastAsia="Times New Roman" w:hAnsi="Times New Roman" w:cs="Times New Roman"/>
          <w:sz w:val="24"/>
          <w:szCs w:val="24"/>
        </w:rPr>
        <w:t>centralised</w:t>
      </w:r>
      <w:proofErr w:type="spellEnd"/>
      <w:r>
        <w:rPr>
          <w:rFonts w:ascii="Times New Roman" w:eastAsia="Times New Roman" w:hAnsi="Times New Roman" w:cs="Times New Roman"/>
          <w:sz w:val="24"/>
          <w:szCs w:val="24"/>
        </w:rPr>
        <w:t xml:space="preserve"> Contractual Registry System to shift from a reactive enforcement model to a proactive regulatory posture. DSPs operating within Nigeria must submit their core standard terms for routine compliance audits to ensure t</w:t>
      </w:r>
      <w:r>
        <w:rPr>
          <w:rFonts w:ascii="Times New Roman" w:eastAsia="Times New Roman" w:hAnsi="Times New Roman" w:cs="Times New Roman"/>
          <w:sz w:val="24"/>
          <w:szCs w:val="24"/>
        </w:rPr>
        <w:t>he absolute exclusion of unconditioned price variation clauses. A rigorous Pre Notification and Justification Procedure must be established to compel DSPs to notify the FCCPC of the variation and also submit verified objective evidence of economic cost dri</w:t>
      </w:r>
      <w:r>
        <w:rPr>
          <w:rFonts w:ascii="Times New Roman" w:eastAsia="Times New Roman" w:hAnsi="Times New Roman" w:cs="Times New Roman"/>
          <w:sz w:val="24"/>
          <w:szCs w:val="24"/>
        </w:rPr>
        <w:t xml:space="preserve">vers to the FCCPC before consumers are notified of an impending change. The FCCPC must evaluate these justifications within a strict statutory window of 7 to 14 days, </w:t>
      </w:r>
      <w:proofErr w:type="spellStart"/>
      <w:r>
        <w:rPr>
          <w:rFonts w:ascii="Times New Roman" w:eastAsia="Times New Roman" w:hAnsi="Times New Roman" w:cs="Times New Roman"/>
          <w:sz w:val="24"/>
          <w:szCs w:val="24"/>
        </w:rPr>
        <w:t>utilising</w:t>
      </w:r>
      <w:proofErr w:type="spellEnd"/>
      <w:r>
        <w:rPr>
          <w:rFonts w:ascii="Times New Roman" w:eastAsia="Times New Roman" w:hAnsi="Times New Roman" w:cs="Times New Roman"/>
          <w:sz w:val="24"/>
          <w:szCs w:val="24"/>
        </w:rPr>
        <w:t xml:space="preserve"> strategic interagency data sharing partnerships to verify macroeconomic indices</w:t>
      </w:r>
      <w:r>
        <w:rPr>
          <w:rFonts w:ascii="Times New Roman" w:eastAsia="Times New Roman" w:hAnsi="Times New Roman" w:cs="Times New Roman"/>
          <w:sz w:val="24"/>
          <w:szCs w:val="24"/>
        </w:rPr>
        <w:t xml:space="preserve"> whilst safeguarding fair hearing rights through clear administrative appeal mechanisms.</w:t>
      </w:r>
    </w:p>
    <w:p w14:paraId="00000035"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6.4 Establishment of an Online Dispute Resolution and Arbitral Mechanism</w:t>
      </w:r>
    </w:p>
    <w:p w14:paraId="00000036"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regulatory framework should mandate a structured online first dispute resolution mechanism to manage pricing and service variation conflicts between consumers and digital platforms. DSPs must deploy an accessible automated online interface where aggrie</w:t>
      </w:r>
      <w:r>
        <w:rPr>
          <w:rFonts w:ascii="Times New Roman" w:eastAsia="Times New Roman" w:hAnsi="Times New Roman" w:cs="Times New Roman"/>
          <w:sz w:val="24"/>
          <w:szCs w:val="24"/>
        </w:rPr>
        <w:t xml:space="preserve">ved </w:t>
      </w:r>
      <w:r>
        <w:rPr>
          <w:rFonts w:ascii="Times New Roman" w:eastAsia="Times New Roman" w:hAnsi="Times New Roman" w:cs="Times New Roman"/>
          <w:sz w:val="24"/>
          <w:szCs w:val="24"/>
        </w:rPr>
        <w:lastRenderedPageBreak/>
        <w:t>subscribers can directly lodge and resolve contractual disputes within a strict timeline before any regulatory intervention occurs. Should this initial direct online phase between the DSP and the consumer fail, the dispute must escalate to the FCCPC to</w:t>
      </w:r>
      <w:r>
        <w:rPr>
          <w:rFonts w:ascii="Times New Roman" w:eastAsia="Times New Roman" w:hAnsi="Times New Roman" w:cs="Times New Roman"/>
          <w:sz w:val="24"/>
          <w:szCs w:val="24"/>
        </w:rPr>
        <w:t xml:space="preserve"> formally intervene as the definitive arbiter evaluating the platform's economic evidence against the justified reason requirement. Regular contractual frictions will thus be filtered through digital first channels, preserving the institutional capacity of</w:t>
      </w:r>
      <w:r>
        <w:rPr>
          <w:rFonts w:ascii="Times New Roman" w:eastAsia="Times New Roman" w:hAnsi="Times New Roman" w:cs="Times New Roman"/>
          <w:sz w:val="24"/>
          <w:szCs w:val="24"/>
        </w:rPr>
        <w:t xml:space="preserve"> the FCCPC to act as an authoritative binding arbiter capable of ordering price rollbacks or refunds.</w:t>
      </w:r>
    </w:p>
    <w:p w14:paraId="00000037"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 Launch of Nationwide Digital Literacy and Consumer Awareness Campaigns</w:t>
      </w:r>
    </w:p>
    <w:p w14:paraId="00000038"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FCCPC should deploy comprehensive nationwide digital literacy and consumer </w:t>
      </w:r>
      <w:r>
        <w:rPr>
          <w:rFonts w:ascii="Times New Roman" w:eastAsia="Times New Roman" w:hAnsi="Times New Roman" w:cs="Times New Roman"/>
          <w:sz w:val="24"/>
          <w:szCs w:val="24"/>
        </w:rPr>
        <w:t xml:space="preserve">awareness campaigns across all geopolitical zones to empower citizens within the expanding digital economy. These educational initiatives must focus on </w:t>
      </w:r>
      <w:proofErr w:type="spellStart"/>
      <w:r>
        <w:rPr>
          <w:rFonts w:ascii="Times New Roman" w:eastAsia="Times New Roman" w:hAnsi="Times New Roman" w:cs="Times New Roman"/>
          <w:sz w:val="24"/>
          <w:szCs w:val="24"/>
        </w:rPr>
        <w:t>sensitising</w:t>
      </w:r>
      <w:proofErr w:type="spellEnd"/>
      <w:r>
        <w:rPr>
          <w:rFonts w:ascii="Times New Roman" w:eastAsia="Times New Roman" w:hAnsi="Times New Roman" w:cs="Times New Roman"/>
          <w:sz w:val="24"/>
          <w:szCs w:val="24"/>
        </w:rPr>
        <w:t xml:space="preserve"> the public to their statutory rights under the FCCPA, specifically training consumers to ide</w:t>
      </w:r>
      <w:r>
        <w:rPr>
          <w:rFonts w:ascii="Times New Roman" w:eastAsia="Times New Roman" w:hAnsi="Times New Roman" w:cs="Times New Roman"/>
          <w:sz w:val="24"/>
          <w:szCs w:val="24"/>
        </w:rPr>
        <w:t>ntify unfair clauses, and arbitrary unilateral price updates. The Commission should eradicate information asymmetry through national mass media, local digital networks, and civil society partnerships to ensure subscribers are fully equipped to navigate com</w:t>
      </w:r>
      <w:r>
        <w:rPr>
          <w:rFonts w:ascii="Times New Roman" w:eastAsia="Times New Roman" w:hAnsi="Times New Roman" w:cs="Times New Roman"/>
          <w:sz w:val="24"/>
          <w:szCs w:val="24"/>
        </w:rPr>
        <w:t xml:space="preserve">plex digital ecosystems, assert contractual rights proactively, and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online first dispute pathways.</w:t>
      </w:r>
    </w:p>
    <w:p w14:paraId="00000039"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7.0 Conclusion </w:t>
      </w:r>
    </w:p>
    <w:p w14:paraId="0000003A"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digital adhesion contracts has fundamentally transformed consumer transactions in the global digital economy. These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agreements have enabled unprecedented scalability and efficiency for DSPs, yet they have entrenched significant imbalances in bargaining power that often leave consumers with little more than a binary take-it-or-leave-it choice. The landmark r</w:t>
      </w:r>
      <w:r>
        <w:rPr>
          <w:rFonts w:ascii="Times New Roman" w:eastAsia="Times New Roman" w:hAnsi="Times New Roman" w:cs="Times New Roman"/>
          <w:sz w:val="24"/>
          <w:szCs w:val="24"/>
        </w:rPr>
        <w:t xml:space="preserve">uling by the Civil Court of Rome in the Netflix case represents a pivotal judicial intervention that challenges the unfettered exercise of unilateral contractual variation powers. Insisting on a justified reason that is objective, specific, proportionate, </w:t>
      </w:r>
      <w:r>
        <w:rPr>
          <w:rFonts w:ascii="Times New Roman" w:eastAsia="Times New Roman" w:hAnsi="Times New Roman" w:cs="Times New Roman"/>
          <w:sz w:val="24"/>
          <w:szCs w:val="24"/>
        </w:rPr>
        <w:t>and transparently disclosed establishes a crucial safeguard against exploitative practices disguised as commercial flexibility. This decision, alongside parallel developments in other European jurisdictions, underscores a growing international consensus th</w:t>
      </w:r>
      <w:r>
        <w:rPr>
          <w:rFonts w:ascii="Times New Roman" w:eastAsia="Times New Roman" w:hAnsi="Times New Roman" w:cs="Times New Roman"/>
          <w:sz w:val="24"/>
          <w:szCs w:val="24"/>
        </w:rPr>
        <w:t xml:space="preserve">at initial consumer consent cannot serve as a perpetual blank </w:t>
      </w:r>
      <w:proofErr w:type="spellStart"/>
      <w:r>
        <w:rPr>
          <w:rFonts w:ascii="Times New Roman" w:eastAsia="Times New Roman" w:hAnsi="Times New Roman" w:cs="Times New Roman"/>
          <w:sz w:val="24"/>
          <w:szCs w:val="24"/>
        </w:rPr>
        <w:t>cheque</w:t>
      </w:r>
      <w:proofErr w:type="spellEnd"/>
      <w:r>
        <w:rPr>
          <w:rFonts w:ascii="Times New Roman" w:eastAsia="Times New Roman" w:hAnsi="Times New Roman" w:cs="Times New Roman"/>
          <w:sz w:val="24"/>
          <w:szCs w:val="24"/>
        </w:rPr>
        <w:t xml:space="preserve"> for subsequent unfair modifications.</w:t>
      </w:r>
    </w:p>
    <w:p w14:paraId="0000003B" w14:textId="77777777" w:rsidR="00AF5996" w:rsidRDefault="0008345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stands at a critical juncture in addressing these challenges within its own regulatory framework. Although the FCCPA provides a solid foundati</w:t>
      </w:r>
      <w:r>
        <w:rPr>
          <w:rFonts w:ascii="Times New Roman" w:eastAsia="Times New Roman" w:hAnsi="Times New Roman" w:cs="Times New Roman"/>
          <w:sz w:val="24"/>
          <w:szCs w:val="24"/>
        </w:rPr>
        <w:t xml:space="preserve">on through prohibitions on unfair terms, its silence on the justified reason requirement and mandatory disclosures creates a </w:t>
      </w:r>
      <w:r>
        <w:rPr>
          <w:rFonts w:ascii="Times New Roman" w:eastAsia="Times New Roman" w:hAnsi="Times New Roman" w:cs="Times New Roman"/>
          <w:sz w:val="24"/>
          <w:szCs w:val="24"/>
        </w:rPr>
        <w:lastRenderedPageBreak/>
        <w:t>significant lacuna that exposes consumers to arbitrary pricing by both domestic and international platforms. Frequent hikes without</w:t>
      </w:r>
      <w:r>
        <w:rPr>
          <w:rFonts w:ascii="Times New Roman" w:eastAsia="Times New Roman" w:hAnsi="Times New Roman" w:cs="Times New Roman"/>
          <w:sz w:val="24"/>
          <w:szCs w:val="24"/>
        </w:rPr>
        <w:t xml:space="preserve"> justified reason by DSPs in Nigeria, highlights the urgent need for reform. Adopting the justified reason doctrine through statutory amendments, dedicated guidelines, proactive oversight mechanisms, and consumer awareness programs will strengthen consumer</w:t>
      </w:r>
      <w:r>
        <w:rPr>
          <w:rFonts w:ascii="Times New Roman" w:eastAsia="Times New Roman" w:hAnsi="Times New Roman" w:cs="Times New Roman"/>
          <w:sz w:val="24"/>
          <w:szCs w:val="24"/>
        </w:rPr>
        <w:t xml:space="preserve"> protection, foster greater trust in digital services, and position Nigeria as a progressive jurisdiction in regulating the digital economy while ensuring that technological advancement does not come at the expense of consumer sovereignty and economic just</w:t>
      </w:r>
      <w:r>
        <w:rPr>
          <w:rFonts w:ascii="Times New Roman" w:eastAsia="Times New Roman" w:hAnsi="Times New Roman" w:cs="Times New Roman"/>
          <w:sz w:val="24"/>
          <w:szCs w:val="24"/>
        </w:rPr>
        <w:t>ice.</w:t>
      </w:r>
    </w:p>
    <w:p w14:paraId="0000003C" w14:textId="77777777" w:rsidR="00AF5996" w:rsidRDefault="00AF5996">
      <w:pPr>
        <w:spacing w:before="240" w:after="240" w:line="360" w:lineRule="auto"/>
        <w:jc w:val="both"/>
        <w:rPr>
          <w:rFonts w:ascii="Times New Roman" w:eastAsia="Times New Roman" w:hAnsi="Times New Roman" w:cs="Times New Roman"/>
          <w:sz w:val="24"/>
          <w:szCs w:val="24"/>
        </w:rPr>
      </w:pPr>
    </w:p>
    <w:p w14:paraId="0000003D"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3E"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Books </w:t>
      </w:r>
    </w:p>
    <w:p w14:paraId="0000003F" w14:textId="77777777" w:rsidR="00AF5996" w:rsidRDefault="0008345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Garner BA (</w:t>
      </w:r>
      <w:proofErr w:type="spellStart"/>
      <w:proofErr w:type="gramStart"/>
      <w:r>
        <w:rPr>
          <w:rFonts w:ascii="Times New Roman" w:eastAsia="Times New Roman" w:hAnsi="Times New Roman" w:cs="Times New Roman"/>
          <w:sz w:val="24"/>
          <w:szCs w:val="24"/>
        </w:rPr>
        <w:t>ed</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Black's Law Dictionary</w:t>
      </w:r>
      <w:r>
        <w:rPr>
          <w:rFonts w:ascii="Times New Roman" w:eastAsia="Times New Roman" w:hAnsi="Times New Roman" w:cs="Times New Roman"/>
          <w:sz w:val="24"/>
          <w:szCs w:val="24"/>
        </w:rPr>
        <w:t xml:space="preserve"> (10th </w:t>
      </w:r>
      <w:proofErr w:type="spellStart"/>
      <w:r>
        <w:rPr>
          <w:rFonts w:ascii="Times New Roman" w:eastAsia="Times New Roman" w:hAnsi="Times New Roman" w:cs="Times New Roman"/>
          <w:sz w:val="24"/>
          <w:szCs w:val="24"/>
        </w:rPr>
        <w:t>edn</w:t>
      </w:r>
      <w:proofErr w:type="spellEnd"/>
      <w:r>
        <w:rPr>
          <w:rFonts w:ascii="Times New Roman" w:eastAsia="Times New Roman" w:hAnsi="Times New Roman" w:cs="Times New Roman"/>
          <w:sz w:val="24"/>
          <w:szCs w:val="24"/>
        </w:rPr>
        <w:t>, Thomson Reuters 2014)</w:t>
      </w:r>
    </w:p>
    <w:p w14:paraId="00000040"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Girot</w:t>
      </w:r>
      <w:proofErr w:type="spellEnd"/>
      <w:r>
        <w:rPr>
          <w:rFonts w:ascii="Times New Roman" w:eastAsia="Times New Roman" w:hAnsi="Times New Roman" w:cs="Times New Roman"/>
          <w:sz w:val="24"/>
          <w:szCs w:val="24"/>
        </w:rPr>
        <w:t xml:space="preserve"> C, </w:t>
      </w:r>
      <w:r>
        <w:rPr>
          <w:rFonts w:ascii="Times New Roman" w:eastAsia="Times New Roman" w:hAnsi="Times New Roman" w:cs="Times New Roman"/>
          <w:i/>
          <w:iCs/>
          <w:sz w:val="24"/>
          <w:szCs w:val="24"/>
        </w:rPr>
        <w:t xml:space="preserve">User Protection in IT Contracts: A Comparative Study of the Protection of the User </w:t>
      </w:r>
      <w:proofErr w:type="gramStart"/>
      <w:r>
        <w:rPr>
          <w:rFonts w:ascii="Times New Roman" w:eastAsia="Times New Roman" w:hAnsi="Times New Roman" w:cs="Times New Roman"/>
          <w:i/>
          <w:iCs/>
          <w:sz w:val="24"/>
          <w:szCs w:val="24"/>
        </w:rPr>
        <w:t>Against</w:t>
      </w:r>
      <w:proofErr w:type="gramEnd"/>
      <w:r>
        <w:rPr>
          <w:rFonts w:ascii="Times New Roman" w:eastAsia="Times New Roman" w:hAnsi="Times New Roman" w:cs="Times New Roman"/>
          <w:i/>
          <w:iCs/>
          <w:sz w:val="24"/>
          <w:szCs w:val="24"/>
        </w:rPr>
        <w:t xml:space="preserve"> Defective Performance in Information Technology</w:t>
      </w:r>
      <w:r>
        <w:rPr>
          <w:rFonts w:ascii="Times New Roman" w:eastAsia="Times New Roman" w:hAnsi="Times New Roman" w:cs="Times New Roman"/>
          <w:sz w:val="24"/>
          <w:szCs w:val="24"/>
        </w:rPr>
        <w:t xml:space="preserve"> (Kluwer Law </w:t>
      </w:r>
      <w:r>
        <w:rPr>
          <w:rFonts w:ascii="Times New Roman" w:eastAsia="Times New Roman" w:hAnsi="Times New Roman" w:cs="Times New Roman"/>
          <w:sz w:val="24"/>
          <w:szCs w:val="24"/>
        </w:rPr>
        <w:t>International 2001)</w:t>
      </w:r>
    </w:p>
    <w:p w14:paraId="00000041" w14:textId="77777777" w:rsidR="00AF5996" w:rsidRDefault="0008345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Loos M and </w:t>
      </w:r>
      <w:proofErr w:type="spellStart"/>
      <w:r>
        <w:rPr>
          <w:rFonts w:ascii="Times New Roman" w:eastAsia="Times New Roman" w:hAnsi="Times New Roman" w:cs="Times New Roman"/>
          <w:sz w:val="24"/>
          <w:szCs w:val="24"/>
        </w:rPr>
        <w:t>Luzak</w:t>
      </w:r>
      <w:proofErr w:type="spellEnd"/>
      <w:r>
        <w:rPr>
          <w:rFonts w:ascii="Times New Roman" w:eastAsia="Times New Roman" w:hAnsi="Times New Roman" w:cs="Times New Roman"/>
          <w:sz w:val="24"/>
          <w:szCs w:val="24"/>
        </w:rPr>
        <w:t xml:space="preserve"> J, </w:t>
      </w:r>
      <w:r>
        <w:rPr>
          <w:rFonts w:ascii="Times New Roman" w:eastAsia="Times New Roman" w:hAnsi="Times New Roman" w:cs="Times New Roman"/>
          <w:i/>
          <w:iCs/>
          <w:sz w:val="24"/>
          <w:szCs w:val="24"/>
        </w:rPr>
        <w:t>Update the Unfair Contract Terms Directive for Digital Services</w:t>
      </w:r>
      <w:r>
        <w:rPr>
          <w:rFonts w:ascii="Times New Roman" w:eastAsia="Times New Roman" w:hAnsi="Times New Roman" w:cs="Times New Roman"/>
          <w:sz w:val="24"/>
          <w:szCs w:val="24"/>
        </w:rPr>
        <w:t xml:space="preserve"> (PE 676.006, European Parliament 2021)</w:t>
      </w:r>
    </w:p>
    <w:p w14:paraId="00000042" w14:textId="77777777" w:rsidR="00AF5996" w:rsidRDefault="0008345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OECD, </w:t>
      </w:r>
      <w:r>
        <w:rPr>
          <w:rFonts w:ascii="Times New Roman" w:eastAsia="Times New Roman" w:hAnsi="Times New Roman" w:cs="Times New Roman"/>
          <w:i/>
          <w:iCs/>
          <w:sz w:val="24"/>
          <w:szCs w:val="24"/>
        </w:rPr>
        <w:t>Data-Driven Innovation: Big Data for Growth and Well-Being</w:t>
      </w:r>
      <w:r>
        <w:rPr>
          <w:rFonts w:ascii="Times New Roman" w:eastAsia="Times New Roman" w:hAnsi="Times New Roman" w:cs="Times New Roman"/>
          <w:sz w:val="24"/>
          <w:szCs w:val="24"/>
        </w:rPr>
        <w:t xml:space="preserve"> (OECD Publishing 2015)</w:t>
      </w:r>
    </w:p>
    <w:p w14:paraId="00000043"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Articles </w:t>
      </w:r>
    </w:p>
    <w:p w14:paraId="00000044" w14:textId="77777777" w:rsidR="00AF5996" w:rsidRDefault="0008345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Ayres I and Sch</w:t>
      </w:r>
      <w:r>
        <w:rPr>
          <w:rFonts w:ascii="Times New Roman" w:eastAsia="Times New Roman" w:hAnsi="Times New Roman" w:cs="Times New Roman"/>
          <w:sz w:val="24"/>
          <w:szCs w:val="24"/>
        </w:rPr>
        <w:t xml:space="preserve">wartz A, 'The No-Reading Problem in Consumer Contract Law' (2014) 66 </w:t>
      </w:r>
      <w:r>
        <w:rPr>
          <w:rFonts w:ascii="Times New Roman" w:eastAsia="Times New Roman" w:hAnsi="Times New Roman" w:cs="Times New Roman"/>
          <w:i/>
          <w:iCs/>
          <w:sz w:val="24"/>
          <w:szCs w:val="24"/>
        </w:rPr>
        <w:t>Stanford Law Review</w:t>
      </w:r>
      <w:r>
        <w:rPr>
          <w:rFonts w:ascii="Times New Roman" w:eastAsia="Times New Roman" w:hAnsi="Times New Roman" w:cs="Times New Roman"/>
          <w:sz w:val="24"/>
          <w:szCs w:val="24"/>
        </w:rPr>
        <w:t xml:space="preserve"> 545</w:t>
      </w:r>
    </w:p>
    <w:p w14:paraId="00000045"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Dudás</w:t>
      </w:r>
      <w:proofErr w:type="spellEnd"/>
      <w:r>
        <w:rPr>
          <w:rFonts w:ascii="Times New Roman" w:eastAsia="Times New Roman" w:hAnsi="Times New Roman" w:cs="Times New Roman"/>
          <w:sz w:val="24"/>
          <w:szCs w:val="24"/>
        </w:rPr>
        <w:t xml:space="preserve"> GJ, </w:t>
      </w:r>
      <w:proofErr w:type="spellStart"/>
      <w:r>
        <w:rPr>
          <w:rFonts w:ascii="Times New Roman" w:eastAsia="Times New Roman" w:hAnsi="Times New Roman" w:cs="Times New Roman"/>
          <w:sz w:val="24"/>
          <w:szCs w:val="24"/>
        </w:rPr>
        <w:t>Kovács</w:t>
      </w:r>
      <w:proofErr w:type="spellEnd"/>
      <w:r>
        <w:rPr>
          <w:rFonts w:ascii="Times New Roman" w:eastAsia="Times New Roman" w:hAnsi="Times New Roman" w:cs="Times New Roman"/>
          <w:sz w:val="24"/>
          <w:szCs w:val="24"/>
        </w:rPr>
        <w:t xml:space="preserve"> AG and Schultz M, 'Personal Data as Consideration' (2023) 2(9) </w:t>
      </w:r>
      <w:r>
        <w:rPr>
          <w:rFonts w:ascii="Times New Roman" w:eastAsia="Times New Roman" w:hAnsi="Times New Roman" w:cs="Times New Roman"/>
          <w:i/>
          <w:iCs/>
          <w:sz w:val="24"/>
          <w:szCs w:val="24"/>
        </w:rPr>
        <w:t>Santander Art and Culture Law Review</w:t>
      </w:r>
      <w:r>
        <w:rPr>
          <w:rFonts w:ascii="Times New Roman" w:eastAsia="Times New Roman" w:hAnsi="Times New Roman" w:cs="Times New Roman"/>
          <w:sz w:val="24"/>
          <w:szCs w:val="24"/>
        </w:rPr>
        <w:t xml:space="preserve"> 215</w:t>
      </w:r>
    </w:p>
    <w:p w14:paraId="00000046"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Enang</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Effectiveness of </w:t>
      </w:r>
      <w:r>
        <w:rPr>
          <w:rFonts w:ascii="Times New Roman" w:eastAsia="Times New Roman" w:hAnsi="Times New Roman" w:cs="Times New Roman"/>
          <w:sz w:val="24"/>
          <w:szCs w:val="24"/>
        </w:rPr>
        <w:t xml:space="preserve">the Federal Competition and Consumer Protection Act 2018 in the Protection of Consumers in Electronic Commerce’ (2025) 8(1) </w:t>
      </w:r>
      <w:r>
        <w:rPr>
          <w:rFonts w:ascii="Times New Roman" w:eastAsia="Times New Roman" w:hAnsi="Times New Roman" w:cs="Times New Roman"/>
          <w:i/>
          <w:iCs/>
          <w:sz w:val="24"/>
          <w:szCs w:val="24"/>
        </w:rPr>
        <w:t>Redeemer’s University Nigeria Law Journal</w:t>
      </w:r>
      <w:r>
        <w:rPr>
          <w:rFonts w:ascii="Times New Roman" w:eastAsia="Times New Roman" w:hAnsi="Times New Roman" w:cs="Times New Roman"/>
          <w:sz w:val="24"/>
          <w:szCs w:val="24"/>
        </w:rPr>
        <w:t xml:space="preserve"> 126</w:t>
      </w:r>
    </w:p>
    <w:p w14:paraId="00000047"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Ilobinso</w:t>
      </w:r>
      <w:proofErr w:type="spellEnd"/>
      <w:r>
        <w:rPr>
          <w:rFonts w:ascii="Times New Roman" w:eastAsia="Times New Roman" w:hAnsi="Times New Roman" w:cs="Times New Roman"/>
          <w:sz w:val="24"/>
          <w:szCs w:val="24"/>
        </w:rPr>
        <w:t xml:space="preserve"> IK, 'Protecting Consumers in the Online Market from Unfair Contract Terms: Th</w:t>
      </w:r>
      <w:r>
        <w:rPr>
          <w:rFonts w:ascii="Times New Roman" w:eastAsia="Times New Roman" w:hAnsi="Times New Roman" w:cs="Times New Roman"/>
          <w:sz w:val="24"/>
          <w:szCs w:val="24"/>
        </w:rPr>
        <w:t xml:space="preserve">e Nigerian Perspective' (2018) 14(1) </w:t>
      </w:r>
      <w:r>
        <w:rPr>
          <w:rFonts w:ascii="Times New Roman" w:eastAsia="Times New Roman" w:hAnsi="Times New Roman" w:cs="Times New Roman"/>
          <w:i/>
          <w:iCs/>
          <w:sz w:val="24"/>
          <w:szCs w:val="24"/>
        </w:rPr>
        <w:t>Nigerian Journal of Contemporary Law</w:t>
      </w:r>
      <w:r>
        <w:rPr>
          <w:rFonts w:ascii="Times New Roman" w:eastAsia="Times New Roman" w:hAnsi="Times New Roman" w:cs="Times New Roman"/>
          <w:sz w:val="24"/>
          <w:szCs w:val="24"/>
        </w:rPr>
        <w:t xml:space="preserve"> 53</w:t>
      </w:r>
    </w:p>
    <w:p w14:paraId="00000048"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Maronick</w:t>
      </w:r>
      <w:proofErr w:type="spellEnd"/>
      <w:r>
        <w:rPr>
          <w:rFonts w:ascii="Times New Roman" w:eastAsia="Times New Roman" w:hAnsi="Times New Roman" w:cs="Times New Roman"/>
          <w:sz w:val="24"/>
          <w:szCs w:val="24"/>
        </w:rPr>
        <w:t xml:space="preserve"> TJ, 'Do Consumers Read Terms of Service Agreements When Installing Software? -- A Two-Study Empirical Analysis --' (2014) 4(4) </w:t>
      </w:r>
      <w:r>
        <w:rPr>
          <w:rFonts w:ascii="Times New Roman" w:eastAsia="Times New Roman" w:hAnsi="Times New Roman" w:cs="Times New Roman"/>
          <w:i/>
          <w:iCs/>
          <w:sz w:val="24"/>
          <w:szCs w:val="24"/>
        </w:rPr>
        <w:t>International Journal of Business and Socia</w:t>
      </w:r>
      <w:r>
        <w:rPr>
          <w:rFonts w:ascii="Times New Roman" w:eastAsia="Times New Roman" w:hAnsi="Times New Roman" w:cs="Times New Roman"/>
          <w:i/>
          <w:iCs/>
          <w:sz w:val="24"/>
          <w:szCs w:val="24"/>
        </w:rPr>
        <w:t xml:space="preserve">l Research </w:t>
      </w:r>
      <w:r>
        <w:rPr>
          <w:rFonts w:ascii="Times New Roman" w:eastAsia="Times New Roman" w:hAnsi="Times New Roman" w:cs="Times New Roman"/>
          <w:sz w:val="24"/>
          <w:szCs w:val="24"/>
        </w:rPr>
        <w:t>3</w:t>
      </w:r>
    </w:p>
    <w:p w14:paraId="00000049"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Rott</w:t>
      </w:r>
      <w:proofErr w:type="spellEnd"/>
      <w:r>
        <w:rPr>
          <w:rFonts w:ascii="Times New Roman" w:eastAsia="Times New Roman" w:hAnsi="Times New Roman" w:cs="Times New Roman"/>
          <w:sz w:val="24"/>
          <w:szCs w:val="24"/>
        </w:rPr>
        <w:t xml:space="preserve"> P,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Adjustment of Long-Term Supply Contracts: Experience from German Gas Price </w:t>
      </w:r>
      <w:r>
        <w:rPr>
          <w:rFonts w:ascii="Times New Roman" w:eastAsia="Times New Roman" w:hAnsi="Times New Roman" w:cs="Times New Roman"/>
          <w:sz w:val="24"/>
          <w:szCs w:val="24"/>
        </w:rPr>
        <w:lastRenderedPageBreak/>
        <w:t xml:space="preserve">Case Law’ (2013) 21 </w:t>
      </w:r>
      <w:r>
        <w:rPr>
          <w:rFonts w:ascii="Times New Roman" w:eastAsia="Times New Roman" w:hAnsi="Times New Roman" w:cs="Times New Roman"/>
          <w:i/>
          <w:iCs/>
          <w:sz w:val="24"/>
          <w:szCs w:val="24"/>
        </w:rPr>
        <w:t>European Review of Private Law</w:t>
      </w:r>
      <w:r>
        <w:rPr>
          <w:rFonts w:ascii="Times New Roman" w:eastAsia="Times New Roman" w:hAnsi="Times New Roman" w:cs="Times New Roman"/>
          <w:sz w:val="24"/>
          <w:szCs w:val="24"/>
        </w:rPr>
        <w:t xml:space="preserve"> 734</w:t>
      </w:r>
    </w:p>
    <w:p w14:paraId="0000004A" w14:textId="77777777" w:rsidR="00AF5996" w:rsidRDefault="00083456">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Sklaroff</w:t>
      </w:r>
      <w:proofErr w:type="spellEnd"/>
      <w:r>
        <w:rPr>
          <w:rFonts w:ascii="Times New Roman" w:eastAsia="Times New Roman" w:hAnsi="Times New Roman" w:cs="Times New Roman"/>
          <w:sz w:val="24"/>
          <w:szCs w:val="24"/>
        </w:rPr>
        <w:t xml:space="preserve"> JM, 'Smart Contracts and the Cost of Inflexibility' (2017) 166 </w:t>
      </w:r>
      <w:r>
        <w:rPr>
          <w:rFonts w:ascii="Times New Roman" w:eastAsia="Times New Roman" w:hAnsi="Times New Roman" w:cs="Times New Roman"/>
          <w:i/>
          <w:iCs/>
          <w:sz w:val="24"/>
          <w:szCs w:val="24"/>
        </w:rPr>
        <w:t>University of Pennsylvania L</w:t>
      </w:r>
      <w:r>
        <w:rPr>
          <w:rFonts w:ascii="Times New Roman" w:eastAsia="Times New Roman" w:hAnsi="Times New Roman" w:cs="Times New Roman"/>
          <w:i/>
          <w:iCs/>
          <w:sz w:val="24"/>
          <w:szCs w:val="24"/>
        </w:rPr>
        <w:t>aw Review</w:t>
      </w:r>
      <w:r>
        <w:rPr>
          <w:rFonts w:ascii="Times New Roman" w:eastAsia="Times New Roman" w:hAnsi="Times New Roman" w:cs="Times New Roman"/>
          <w:sz w:val="24"/>
          <w:szCs w:val="24"/>
        </w:rPr>
        <w:t xml:space="preserve"> 263</w:t>
      </w:r>
    </w:p>
    <w:p w14:paraId="0000004B" w14:textId="77777777" w:rsidR="00AF5996" w:rsidRDefault="00083456">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Online Sources </w:t>
      </w:r>
    </w:p>
    <w:p w14:paraId="0000004C"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Adepetun</w:t>
      </w:r>
      <w:proofErr w:type="spellEnd"/>
      <w:r>
        <w:rPr>
          <w:rFonts w:ascii="Times New Roman" w:eastAsia="Times New Roman" w:hAnsi="Times New Roman" w:cs="Times New Roman"/>
          <w:sz w:val="24"/>
          <w:szCs w:val="24"/>
        </w:rPr>
        <w:t xml:space="preserve"> A, ‘YouTube increases premium service price by 54%’ The Guardian (7 April 2025) https://guardian.ng/news/youtube-increases-premium-service-price-by-54/ accessed 13 June 2026</w:t>
      </w:r>
    </w:p>
    <w:p w14:paraId="0000004D"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Biondi A and </w:t>
      </w:r>
      <w:proofErr w:type="spellStart"/>
      <w:r>
        <w:rPr>
          <w:rFonts w:ascii="Times New Roman" w:eastAsia="Times New Roman" w:hAnsi="Times New Roman" w:cs="Times New Roman"/>
          <w:sz w:val="24"/>
          <w:szCs w:val="24"/>
        </w:rPr>
        <w:t>Monaci</w:t>
      </w:r>
      <w:proofErr w:type="spellEnd"/>
      <w:r>
        <w:rPr>
          <w:rFonts w:ascii="Times New Roman" w:eastAsia="Times New Roman" w:hAnsi="Times New Roman" w:cs="Times New Roman"/>
          <w:sz w:val="24"/>
          <w:szCs w:val="24"/>
        </w:rPr>
        <w:t xml:space="preserve"> S, ‘Netflix, unlawful price increases. Consumers: “Refunds up to 500 euros”. The company: we will appeal’ (Il Sole 24 Ore, 3 April 2026) https://www.ilsole24ore.com/art/netflix-rincari-illegiti-consumatori-rimborsi-fino-500-euro-l-azien</w:t>
      </w:r>
      <w:r>
        <w:rPr>
          <w:rFonts w:ascii="Times New Roman" w:eastAsia="Times New Roman" w:hAnsi="Times New Roman" w:cs="Times New Roman"/>
          <w:sz w:val="24"/>
          <w:szCs w:val="24"/>
        </w:rPr>
        <w:t>da-faremo-ricorso-AFCH96ND accessed 11 June 2026</w:t>
      </w:r>
    </w:p>
    <w:p w14:paraId="0000004E"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Burr &amp; Forman, ‘Formation and Enforcement of Online Contracts’ (12 October 2021) https://www.burr.com/newsroom/articles/formation-and-enforcement-of-on-line-contracts accessed 11 June 2026</w:t>
      </w:r>
    </w:p>
    <w:p w14:paraId="0000004F"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Carter J, 'Rome Court Orders Netflix to Refund Italian Subscribers </w:t>
      </w:r>
      <w:proofErr w:type="gramStart"/>
      <w:r>
        <w:rPr>
          <w:rFonts w:ascii="Times New Roman" w:eastAsia="Times New Roman" w:hAnsi="Times New Roman" w:cs="Times New Roman"/>
          <w:sz w:val="24"/>
          <w:szCs w:val="24"/>
        </w:rPr>
        <w:t>Over</w:t>
      </w:r>
      <w:proofErr w:type="gramEnd"/>
      <w:r>
        <w:rPr>
          <w:rFonts w:ascii="Times New Roman" w:eastAsia="Times New Roman" w:hAnsi="Times New Roman" w:cs="Times New Roman"/>
          <w:sz w:val="24"/>
          <w:szCs w:val="24"/>
        </w:rPr>
        <w:t xml:space="preserve"> Unlawful Price Hikes Sparking EU-Wide Legal Ripples' (AltSignals.io, 3 April 2026) https://altsignals.io/post/rome-court-netflix-price-hike-ruling accessed 5 June 2026</w:t>
      </w:r>
    </w:p>
    <w:p w14:paraId="00000050"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W, ‘Netflix </w:t>
      </w:r>
      <w:r>
        <w:rPr>
          <w:rFonts w:ascii="Times New Roman" w:eastAsia="Times New Roman" w:hAnsi="Times New Roman" w:cs="Times New Roman"/>
          <w:sz w:val="24"/>
          <w:szCs w:val="24"/>
        </w:rPr>
        <w:t>Illegally Issued Price Hikes, Rome Court Rules. Users Could Get Refunds’ (The Hollywood Reporter, 6 April 2026) https://www.hollywoodreporter.com/business/business-news/netflix-illegal-price-hikes-rome-court-rules-refunds-1235867761/ accessed 12 June 2026</w:t>
      </w:r>
    </w:p>
    <w:p w14:paraId="00000051"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Deshpande JM, ‘Click Wrap Agreements: Valid Consent or Forced Acceptance?’ (17 February 2026) SSRN https://ssrn.com/abstract=6256878 accessed 11 June 2026</w:t>
      </w:r>
    </w:p>
    <w:p w14:paraId="00000052"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Ezechukwu-Anekwe</w:t>
      </w:r>
      <w:proofErr w:type="spellEnd"/>
      <w:r>
        <w:rPr>
          <w:rFonts w:ascii="Times New Roman" w:eastAsia="Times New Roman" w:hAnsi="Times New Roman" w:cs="Times New Roman"/>
          <w:sz w:val="24"/>
          <w:szCs w:val="24"/>
        </w:rPr>
        <w:t xml:space="preserve"> N, ‘Assessing the Statutory Regulation of Unfair Contract Terms under the Nigerian F</w:t>
      </w:r>
      <w:r>
        <w:rPr>
          <w:rFonts w:ascii="Times New Roman" w:eastAsia="Times New Roman" w:hAnsi="Times New Roman" w:cs="Times New Roman"/>
          <w:sz w:val="24"/>
          <w:szCs w:val="24"/>
        </w:rPr>
        <w:t>ederal Competition and Consumer Protection Act’ (CLRNN / ACLRH, 26 November 2021) https://www.clrnn.net/2021/11/26/assessing-the-statutory-regulation-of-unfair-contract-terms-under-the-nigerian-federal-competition-and-consumer-protection-act/ accessed 13 J</w:t>
      </w:r>
      <w:r>
        <w:rPr>
          <w:rFonts w:ascii="Times New Roman" w:eastAsia="Times New Roman" w:hAnsi="Times New Roman" w:cs="Times New Roman"/>
          <w:sz w:val="24"/>
          <w:szCs w:val="24"/>
        </w:rPr>
        <w:t>une 2026</w:t>
      </w:r>
    </w:p>
    <w:p w14:paraId="00000053"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Conduct Authority, 'Fairness of variation terms in financial services consumer contracts under the Consumer Rights Act 2015' (</w:t>
      </w:r>
      <w:proofErr w:type="spellStart"/>
      <w:r>
        <w:rPr>
          <w:rFonts w:ascii="Times New Roman" w:eastAsia="Times New Roman" w:hAnsi="Times New Roman" w:cs="Times New Roman"/>
          <w:sz w:val="24"/>
          <w:szCs w:val="24"/>
        </w:rPr>
        <w:t>Finalised</w:t>
      </w:r>
      <w:proofErr w:type="spellEnd"/>
      <w:r>
        <w:rPr>
          <w:rFonts w:ascii="Times New Roman" w:eastAsia="Times New Roman" w:hAnsi="Times New Roman" w:cs="Times New Roman"/>
          <w:sz w:val="24"/>
          <w:szCs w:val="24"/>
        </w:rPr>
        <w:t xml:space="preserve"> Guidance FG18/7, 2018) https://www.fca.org.uk/publication/finalised-guidance/fg18-07.pdf accessed 17 </w:t>
      </w:r>
      <w:r>
        <w:rPr>
          <w:rFonts w:ascii="Times New Roman" w:eastAsia="Times New Roman" w:hAnsi="Times New Roman" w:cs="Times New Roman"/>
          <w:sz w:val="24"/>
          <w:szCs w:val="24"/>
        </w:rPr>
        <w:t>June 2026</w:t>
      </w:r>
    </w:p>
    <w:p w14:paraId="00000054"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Fincken</w:t>
      </w:r>
      <w:proofErr w:type="spellEnd"/>
      <w:r>
        <w:rPr>
          <w:rFonts w:ascii="Times New Roman" w:eastAsia="Times New Roman" w:hAnsi="Times New Roman" w:cs="Times New Roman"/>
          <w:sz w:val="24"/>
          <w:szCs w:val="24"/>
        </w:rPr>
        <w:t xml:space="preserve"> E, ‘Italian court sides with consumer group in Netflix price-hike battle’ (ICLG, 7 April 2026) https://iclg.com/news/23738-italian-court-sides-with-consumer-group-in-netflix-price-hike-battle accessed 11 June 2026</w:t>
      </w:r>
    </w:p>
    <w:p w14:paraId="00000055"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Francis A, ‘Apple Raises</w:t>
      </w:r>
      <w:r>
        <w:rPr>
          <w:rFonts w:ascii="Times New Roman" w:eastAsia="Times New Roman" w:hAnsi="Times New Roman" w:cs="Times New Roman"/>
          <w:sz w:val="24"/>
          <w:szCs w:val="24"/>
        </w:rPr>
        <w:t xml:space="preserve"> Apple Music Subscription Prices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Nigeria’ </w:t>
      </w:r>
      <w:proofErr w:type="spellStart"/>
      <w:r>
        <w:rPr>
          <w:rFonts w:ascii="Times New Roman" w:eastAsia="Times New Roman" w:hAnsi="Times New Roman" w:cs="Times New Roman"/>
          <w:sz w:val="24"/>
          <w:szCs w:val="24"/>
        </w:rPr>
        <w:t>Gofishe</w:t>
      </w:r>
      <w:proofErr w:type="spellEnd"/>
      <w:r>
        <w:rPr>
          <w:rFonts w:ascii="Times New Roman" w:eastAsia="Times New Roman" w:hAnsi="Times New Roman" w:cs="Times New Roman"/>
          <w:sz w:val="24"/>
          <w:szCs w:val="24"/>
        </w:rPr>
        <w:t xml:space="preserve"> News (12 June 2025) https://govima.com/news/apple-raises-apple-music-subscription-prices-in-nigeria/ accessed 13 June 2026</w:t>
      </w:r>
    </w:p>
    <w:p w14:paraId="00000056"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Ijagwu</w:t>
      </w:r>
      <w:proofErr w:type="spellEnd"/>
      <w:r>
        <w:rPr>
          <w:rFonts w:ascii="Times New Roman" w:eastAsia="Times New Roman" w:hAnsi="Times New Roman" w:cs="Times New Roman"/>
          <w:sz w:val="24"/>
          <w:szCs w:val="24"/>
        </w:rPr>
        <w:t xml:space="preserve"> O, ‘Subscription Hike: FCCPC Floors </w:t>
      </w:r>
      <w:proofErr w:type="spellStart"/>
      <w:r>
        <w:rPr>
          <w:rFonts w:ascii="Times New Roman" w:eastAsia="Times New Roman" w:hAnsi="Times New Roman" w:cs="Times New Roman"/>
          <w:sz w:val="24"/>
          <w:szCs w:val="24"/>
        </w:rPr>
        <w:t>MultiChoice</w:t>
      </w:r>
      <w:proofErr w:type="spellEnd"/>
      <w:r>
        <w:rPr>
          <w:rFonts w:ascii="Times New Roman" w:eastAsia="Times New Roman" w:hAnsi="Times New Roman" w:cs="Times New Roman"/>
          <w:sz w:val="24"/>
          <w:szCs w:val="24"/>
        </w:rPr>
        <w:t>’ (Federal Competition &amp; C</w:t>
      </w:r>
      <w:r>
        <w:rPr>
          <w:rFonts w:ascii="Times New Roman" w:eastAsia="Times New Roman" w:hAnsi="Times New Roman" w:cs="Times New Roman"/>
          <w:sz w:val="24"/>
          <w:szCs w:val="24"/>
        </w:rPr>
        <w:t>onsumer Protection Commission, 8 May 2025) https://fccpc.gov.ng/subscription-hike-fccpc-floors-multichoice/ accessed 13 June 2026</w:t>
      </w:r>
    </w:p>
    <w:p w14:paraId="00000057"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Jaiyeola</w:t>
      </w:r>
      <w:proofErr w:type="spellEnd"/>
      <w:r>
        <w:rPr>
          <w:rFonts w:ascii="Times New Roman" w:eastAsia="Times New Roman" w:hAnsi="Times New Roman" w:cs="Times New Roman"/>
          <w:sz w:val="24"/>
          <w:szCs w:val="24"/>
        </w:rPr>
        <w:t xml:space="preserve"> T, ‘Netflix raises subscription fee by 21% to ₦8,500 in Nigeria’ </w:t>
      </w:r>
      <w:proofErr w:type="spellStart"/>
      <w:r>
        <w:rPr>
          <w:rFonts w:ascii="Times New Roman" w:eastAsia="Times New Roman" w:hAnsi="Times New Roman" w:cs="Times New Roman"/>
          <w:sz w:val="24"/>
          <w:szCs w:val="24"/>
        </w:rPr>
        <w:t>BusinessDay</w:t>
      </w:r>
      <w:proofErr w:type="spellEnd"/>
      <w:r>
        <w:rPr>
          <w:rFonts w:ascii="Times New Roman" w:eastAsia="Times New Roman" w:hAnsi="Times New Roman" w:cs="Times New Roman"/>
          <w:sz w:val="24"/>
          <w:szCs w:val="24"/>
        </w:rPr>
        <w:t xml:space="preserve"> (4 June 2025) https://businessday.ng/tec</w:t>
      </w:r>
      <w:r>
        <w:rPr>
          <w:rFonts w:ascii="Times New Roman" w:eastAsia="Times New Roman" w:hAnsi="Times New Roman" w:cs="Times New Roman"/>
          <w:sz w:val="24"/>
          <w:szCs w:val="24"/>
        </w:rPr>
        <w:t>hnology/article/netflix-raises-subscription-fee-by-21-to-n8500-in-nigeria/ accessed 13 June 2026</w:t>
      </w:r>
    </w:p>
    <w:p w14:paraId="00000058"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Jaiyeola</w:t>
      </w:r>
      <w:proofErr w:type="spellEnd"/>
      <w:r>
        <w:rPr>
          <w:rFonts w:ascii="Times New Roman" w:eastAsia="Times New Roman" w:hAnsi="Times New Roman" w:cs="Times New Roman"/>
          <w:sz w:val="24"/>
          <w:szCs w:val="24"/>
        </w:rPr>
        <w:t xml:space="preserve"> T, ‘Spotify hikes fee to N1</w:t>
      </w:r>
      <w:proofErr w:type="gramStart"/>
      <w:r>
        <w:rPr>
          <w:rFonts w:ascii="Times New Roman" w:eastAsia="Times New Roman" w:hAnsi="Times New Roman" w:cs="Times New Roman"/>
          <w:sz w:val="24"/>
          <w:szCs w:val="24"/>
        </w:rPr>
        <w:t>,300</w:t>
      </w:r>
      <w:proofErr w:type="gramEnd"/>
      <w:r>
        <w:rPr>
          <w:rFonts w:ascii="Times New Roman" w:eastAsia="Times New Roman" w:hAnsi="Times New Roman" w:cs="Times New Roman"/>
          <w:sz w:val="24"/>
          <w:szCs w:val="24"/>
        </w:rPr>
        <w:t xml:space="preserve">/month on weaker naira’ </w:t>
      </w:r>
      <w:proofErr w:type="spellStart"/>
      <w:r>
        <w:rPr>
          <w:rFonts w:ascii="Times New Roman" w:eastAsia="Times New Roman" w:hAnsi="Times New Roman" w:cs="Times New Roman"/>
          <w:sz w:val="24"/>
          <w:szCs w:val="24"/>
        </w:rPr>
        <w:t>BusinessDay</w:t>
      </w:r>
      <w:proofErr w:type="spellEnd"/>
      <w:r>
        <w:rPr>
          <w:rFonts w:ascii="Times New Roman" w:eastAsia="Times New Roman" w:hAnsi="Times New Roman" w:cs="Times New Roman"/>
          <w:sz w:val="24"/>
          <w:szCs w:val="24"/>
        </w:rPr>
        <w:t xml:space="preserve"> (22 October 2024) https://businessday.ng/technology/article/spotify-hikes-fee-to-n1</w:t>
      </w:r>
      <w:r>
        <w:rPr>
          <w:rFonts w:ascii="Times New Roman" w:eastAsia="Times New Roman" w:hAnsi="Times New Roman" w:cs="Times New Roman"/>
          <w:sz w:val="24"/>
          <w:szCs w:val="24"/>
        </w:rPr>
        <w:t>300-month-on-weaker-naira/ accessed 13 June 2026</w:t>
      </w:r>
    </w:p>
    <w:p w14:paraId="00000059" w14:textId="77777777" w:rsidR="00AF5996" w:rsidRDefault="0008345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Mahathir A, ‘Standard Form Contract Relating Digital Law Requires an Improvement to be </w:t>
      </w:r>
      <w:proofErr w:type="gramStart"/>
      <w:r>
        <w:rPr>
          <w:rFonts w:ascii="Times New Roman" w:eastAsia="Times New Roman" w:hAnsi="Times New Roman" w:cs="Times New Roman"/>
          <w:sz w:val="24"/>
          <w:szCs w:val="24"/>
        </w:rPr>
        <w:t>Clearer</w:t>
      </w:r>
      <w:proofErr w:type="gramEnd"/>
      <w:r>
        <w:rPr>
          <w:rFonts w:ascii="Times New Roman" w:eastAsia="Times New Roman" w:hAnsi="Times New Roman" w:cs="Times New Roman"/>
          <w:sz w:val="24"/>
          <w:szCs w:val="24"/>
        </w:rPr>
        <w:t xml:space="preserve"> and More Accessible?’ (</w:t>
      </w:r>
      <w:proofErr w:type="spellStart"/>
      <w:r>
        <w:rPr>
          <w:rFonts w:ascii="Times New Roman" w:eastAsia="Times New Roman" w:hAnsi="Times New Roman" w:cs="Times New Roman"/>
          <w:sz w:val="24"/>
          <w:szCs w:val="24"/>
        </w:rPr>
        <w:t>ResearchGate</w:t>
      </w:r>
      <w:proofErr w:type="spellEnd"/>
      <w:r>
        <w:rPr>
          <w:rFonts w:ascii="Times New Roman" w:eastAsia="Times New Roman" w:hAnsi="Times New Roman" w:cs="Times New Roman"/>
          <w:sz w:val="24"/>
          <w:szCs w:val="24"/>
        </w:rPr>
        <w:t>, January 2025) https://www.researchgate.net/publication/387659294_Standard_f</w:t>
      </w:r>
      <w:r>
        <w:rPr>
          <w:rFonts w:ascii="Times New Roman" w:eastAsia="Times New Roman" w:hAnsi="Times New Roman" w:cs="Times New Roman"/>
          <w:sz w:val="24"/>
          <w:szCs w:val="24"/>
        </w:rPr>
        <w:t>orm_contract_relating_digital_law_requires_an_improvement_to_be_clearer_and_more_accessible accessed 5 June 2026</w:t>
      </w:r>
    </w:p>
    <w:p w14:paraId="0000005A"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Niji</w:t>
      </w:r>
      <w:proofErr w:type="spellEnd"/>
      <w:r>
        <w:rPr>
          <w:rFonts w:ascii="Times New Roman" w:eastAsia="Times New Roman" w:hAnsi="Times New Roman" w:cs="Times New Roman"/>
          <w:sz w:val="24"/>
          <w:szCs w:val="24"/>
        </w:rPr>
        <w:t xml:space="preserve"> Oni &amp; Co, ‘A Review of the Federal Competition and Consumer Protection Act 2018’ (20 March 2019) https://www.nijioni.com/2019/03/20/a-revi</w:t>
      </w:r>
      <w:r>
        <w:rPr>
          <w:rFonts w:ascii="Times New Roman" w:eastAsia="Times New Roman" w:hAnsi="Times New Roman" w:cs="Times New Roman"/>
          <w:sz w:val="24"/>
          <w:szCs w:val="24"/>
        </w:rPr>
        <w:t>ew-of-the-federal-competition-and-consumer-protection-act-2018/ accessed 13 June 2026</w:t>
      </w:r>
    </w:p>
    <w:p w14:paraId="0000005B"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Okhue</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MultiChoice’s</w:t>
      </w:r>
      <w:proofErr w:type="spellEnd"/>
      <w:r>
        <w:rPr>
          <w:rFonts w:ascii="Times New Roman" w:eastAsia="Times New Roman" w:hAnsi="Times New Roman" w:cs="Times New Roman"/>
          <w:sz w:val="24"/>
          <w:szCs w:val="24"/>
        </w:rPr>
        <w:t xml:space="preserve"> Right to Fix Prices for Its Services: A Landmark Decision and Win for Nigeria’s Free-market Economy’ (Infusion Lawyers, 10 June 2025) https://infu</w:t>
      </w:r>
      <w:r>
        <w:rPr>
          <w:rFonts w:ascii="Times New Roman" w:eastAsia="Times New Roman" w:hAnsi="Times New Roman" w:cs="Times New Roman"/>
          <w:sz w:val="24"/>
          <w:szCs w:val="24"/>
        </w:rPr>
        <w:t>sionlawyers.com/multichoices-right-to-fix-prices-for-its-services-a-landmark-decision-and-win-for-nigerias-free-market-economy/ accessed 13 June 2026</w:t>
      </w:r>
    </w:p>
    <w:p w14:paraId="0000005C"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P, 'Online Contracts in Nigeria: Formation and Challenges' (SSRN, 26 February 2026) https://ssrn.com</w:t>
      </w:r>
      <w:r>
        <w:rPr>
          <w:rFonts w:ascii="Times New Roman" w:eastAsia="Times New Roman" w:hAnsi="Times New Roman" w:cs="Times New Roman"/>
          <w:sz w:val="24"/>
          <w:szCs w:val="24"/>
        </w:rPr>
        <w:t>/abstract=6465558 accessed 4 June 2026</w:t>
      </w:r>
    </w:p>
    <w:p w14:paraId="0000005D" w14:textId="77777777" w:rsidR="00AF5996" w:rsidRDefault="00083456">
      <w:pPr>
        <w:spacing w:before="240"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Zammit</w:t>
      </w:r>
      <w:proofErr w:type="spellEnd"/>
      <w:r>
        <w:rPr>
          <w:rFonts w:ascii="Times New Roman" w:eastAsia="Times New Roman" w:hAnsi="Times New Roman" w:cs="Times New Roman"/>
          <w:sz w:val="24"/>
          <w:szCs w:val="24"/>
        </w:rPr>
        <w:t xml:space="preserve"> N, '“Freedom to cancel is not consent”: Italian Netflix ruling raises questions on subscription services' (BusinessNow.mt, 6 May 2026) https://businessnow.mt/freedom-to-cancel-is-not-consent-italian-netflix-rul</w:t>
      </w:r>
      <w:r>
        <w:rPr>
          <w:rFonts w:ascii="Times New Roman" w:eastAsia="Times New Roman" w:hAnsi="Times New Roman" w:cs="Times New Roman"/>
          <w:sz w:val="24"/>
          <w:szCs w:val="24"/>
        </w:rPr>
        <w:t>ing-raises-questions-on-subscription-services/ accessed 5 June 2026</w:t>
      </w:r>
    </w:p>
    <w:p w14:paraId="0000005E" w14:textId="77777777" w:rsidR="00AF5996" w:rsidRDefault="00AF5996">
      <w:pPr>
        <w:spacing w:before="240" w:after="240" w:line="276" w:lineRule="auto"/>
        <w:rPr>
          <w:rFonts w:ascii="Times New Roman" w:eastAsia="Times New Roman" w:hAnsi="Times New Roman" w:cs="Times New Roman"/>
          <w:sz w:val="24"/>
          <w:szCs w:val="24"/>
        </w:rPr>
      </w:pPr>
    </w:p>
    <w:p w14:paraId="0000005F" w14:textId="77777777" w:rsidR="00AF5996" w:rsidRDefault="00AF5996">
      <w:pPr>
        <w:spacing w:before="240" w:after="240" w:line="276" w:lineRule="auto"/>
        <w:rPr>
          <w:rFonts w:ascii="Times New Roman" w:eastAsia="Times New Roman" w:hAnsi="Times New Roman" w:cs="Times New Roman"/>
          <w:sz w:val="24"/>
          <w:szCs w:val="24"/>
        </w:rPr>
      </w:pPr>
    </w:p>
    <w:p w14:paraId="00000060" w14:textId="77777777" w:rsidR="00AF5996" w:rsidRDefault="00AF5996">
      <w:pPr>
        <w:spacing w:before="240" w:after="240" w:line="276" w:lineRule="auto"/>
        <w:rPr>
          <w:rFonts w:ascii="Times New Roman" w:eastAsia="Times New Roman" w:hAnsi="Times New Roman" w:cs="Times New Roman"/>
          <w:sz w:val="24"/>
          <w:szCs w:val="24"/>
        </w:rPr>
      </w:pPr>
    </w:p>
    <w:p w14:paraId="00000061" w14:textId="77777777" w:rsidR="00AF5996" w:rsidRDefault="00AF5996">
      <w:pPr>
        <w:spacing w:before="240" w:after="240" w:line="276" w:lineRule="auto"/>
        <w:rPr>
          <w:rFonts w:ascii="Times New Roman" w:eastAsia="Times New Roman" w:hAnsi="Times New Roman" w:cs="Times New Roman"/>
          <w:sz w:val="24"/>
          <w:szCs w:val="24"/>
        </w:rPr>
      </w:pPr>
    </w:p>
    <w:sectPr w:rsidR="00AF5996">
      <w:footnotePr>
        <w:numRestart w:val="eachSect"/>
      </w:footnotePr>
      <w:pgSz w:w="11906" w:h="16838"/>
      <w:pgMar w:top="1133" w:right="1440" w:bottom="990" w:left="1440" w:header="0" w:footer="2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D6F7B" w14:textId="77777777" w:rsidR="00083456" w:rsidRDefault="00083456">
      <w:r>
        <w:separator/>
      </w:r>
    </w:p>
  </w:endnote>
  <w:endnote w:type="continuationSeparator" w:id="0">
    <w:p w14:paraId="13298C90" w14:textId="77777777" w:rsidR="00083456" w:rsidRDefault="00083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27A3813-44C8-4FD8-9219-6EEFC35BF0CC}"/>
  </w:font>
  <w:font w:name="Calibri">
    <w:panose1 w:val="020F0502020204030204"/>
    <w:charset w:val="00"/>
    <w:family w:val="swiss"/>
    <w:pitch w:val="variable"/>
    <w:sig w:usb0="E00002FF" w:usb1="4000ACFF" w:usb2="00000001" w:usb3="00000000" w:csb0="0000019F" w:csb1="00000000"/>
    <w:embedRegular r:id="rId2" w:fontKey="{B457B42F-4D0C-4AC8-8EE4-CD4AF693828B}"/>
  </w:font>
  <w:font w:name="Cambria">
    <w:panose1 w:val="02040503050406030204"/>
    <w:charset w:val="00"/>
    <w:family w:val="roman"/>
    <w:pitch w:val="variable"/>
    <w:sig w:usb0="E00002FF" w:usb1="400004FF" w:usb2="00000000" w:usb3="00000000" w:csb0="0000019F" w:csb1="00000000"/>
    <w:embedRegular r:id="rId3" w:fontKey="{ADD5F0A5-FB0D-468A-AF28-767EF7788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C" w14:textId="77777777" w:rsidR="00AF5996" w:rsidRDefault="00083456">
    <w:pPr>
      <w:pBdr>
        <w:top w:val="nil"/>
        <w:left w:val="nil"/>
        <w:bottom w:val="nil"/>
        <w:right w:val="nil"/>
        <w:between w:val="nil"/>
      </w:pBdr>
      <w:tabs>
        <w:tab w:val="center" w:pos="4680"/>
        <w:tab w:val="right" w:pos="9360"/>
      </w:tabs>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sidR="0074114D">
      <w:rPr>
        <w:b/>
        <w:bCs/>
        <w:color w:val="000000"/>
        <w:sz w:val="24"/>
        <w:szCs w:val="24"/>
      </w:rPr>
      <w:fldChar w:fldCharType="separate"/>
    </w:r>
    <w:r w:rsidR="0074114D">
      <w:rPr>
        <w:b/>
        <w:bCs/>
        <w:noProof/>
        <w:color w:val="000000"/>
        <w:sz w:val="24"/>
        <w:szCs w:val="24"/>
      </w:rPr>
      <w:t>18</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sidR="0074114D">
      <w:rPr>
        <w:b/>
        <w:bCs/>
        <w:color w:val="000000"/>
        <w:sz w:val="24"/>
        <w:szCs w:val="24"/>
      </w:rPr>
      <w:fldChar w:fldCharType="separate"/>
    </w:r>
    <w:r w:rsidR="0074114D">
      <w:rPr>
        <w:b/>
        <w:bCs/>
        <w:noProof/>
        <w:color w:val="000000"/>
        <w:sz w:val="24"/>
        <w:szCs w:val="24"/>
      </w:rPr>
      <w:t>18</w:t>
    </w:r>
    <w:r>
      <w:rPr>
        <w:b/>
        <w:bCs/>
        <w:color w:val="000000"/>
        <w:sz w:val="24"/>
        <w:szCs w:val="24"/>
      </w:rPr>
      <w:fldChar w:fldCharType="end"/>
    </w:r>
  </w:p>
  <w:p w14:paraId="0000008D" w14:textId="77777777" w:rsidR="00AF5996" w:rsidRDefault="00AF5996">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0BFC5" w14:textId="77777777" w:rsidR="00083456" w:rsidRDefault="00083456">
      <w:r>
        <w:separator/>
      </w:r>
    </w:p>
  </w:footnote>
  <w:footnote w:type="continuationSeparator" w:id="0">
    <w:p w14:paraId="31A143CC" w14:textId="77777777" w:rsidR="00083456" w:rsidRDefault="00083456">
      <w:r>
        <w:continuationSeparator/>
      </w:r>
    </w:p>
  </w:footnote>
  <w:footnote w:id="1">
    <w:p w14:paraId="1EBC8CDB" w14:textId="54F6A7E4" w:rsidR="0074114D" w:rsidRPr="0074114D" w:rsidRDefault="0074114D" w:rsidP="0074114D">
      <w:pPr>
        <w:pStyle w:val="NormalWeb"/>
        <w:spacing w:before="0" w:beforeAutospacing="0" w:after="0" w:afterAutospacing="0"/>
        <w:rPr>
          <w:sz w:val="20"/>
          <w:szCs w:val="20"/>
        </w:rPr>
      </w:pPr>
      <w:r w:rsidRPr="0074114D">
        <w:rPr>
          <w:rStyle w:val="FootnoteReference"/>
          <w:sz w:val="20"/>
          <w:szCs w:val="20"/>
        </w:rPr>
        <w:footnoteRef/>
      </w:r>
      <w:r w:rsidRPr="0074114D">
        <w:rPr>
          <w:sz w:val="20"/>
          <w:szCs w:val="20"/>
        </w:rPr>
        <w:t xml:space="preserve"> </w:t>
      </w:r>
      <w:r w:rsidRPr="0074114D">
        <w:rPr>
          <w:color w:val="000000"/>
          <w:sz w:val="20"/>
          <w:szCs w:val="20"/>
        </w:rPr>
        <w:t xml:space="preserve">Justice </w:t>
      </w:r>
      <w:proofErr w:type="spellStart"/>
      <w:r w:rsidRPr="0074114D">
        <w:rPr>
          <w:color w:val="000000"/>
          <w:sz w:val="20"/>
          <w:szCs w:val="20"/>
        </w:rPr>
        <w:t>Ebiarimini</w:t>
      </w:r>
      <w:proofErr w:type="spellEnd"/>
      <w:r w:rsidRPr="0074114D">
        <w:rPr>
          <w:color w:val="000000"/>
          <w:sz w:val="20"/>
          <w:szCs w:val="20"/>
        </w:rPr>
        <w:t xml:space="preserve"> </w:t>
      </w:r>
      <w:proofErr w:type="spellStart"/>
      <w:r w:rsidRPr="0074114D">
        <w:rPr>
          <w:color w:val="000000"/>
          <w:sz w:val="20"/>
          <w:szCs w:val="20"/>
        </w:rPr>
        <w:t>Suduobogha</w:t>
      </w:r>
      <w:proofErr w:type="spellEnd"/>
      <w:r w:rsidRPr="0074114D">
        <w:rPr>
          <w:color w:val="000000"/>
          <w:sz w:val="20"/>
          <w:szCs w:val="20"/>
        </w:rPr>
        <w:t xml:space="preserve">, LL.B (Hons) Niger Delta University, Wilberforce Island, </w:t>
      </w:r>
      <w:proofErr w:type="spellStart"/>
      <w:r w:rsidRPr="0074114D">
        <w:rPr>
          <w:color w:val="000000"/>
          <w:sz w:val="20"/>
          <w:szCs w:val="20"/>
        </w:rPr>
        <w:t>Bayelsa</w:t>
      </w:r>
      <w:proofErr w:type="spellEnd"/>
      <w:r w:rsidRPr="0074114D">
        <w:rPr>
          <w:color w:val="000000"/>
          <w:sz w:val="20"/>
          <w:szCs w:val="20"/>
        </w:rPr>
        <w:t xml:space="preserve"> State; B.L, email: </w:t>
      </w:r>
      <w:hyperlink r:id="rId1" w:history="1">
        <w:r w:rsidRPr="0074114D">
          <w:rPr>
            <w:rStyle w:val="Hyperlink"/>
            <w:color w:val="1155CC"/>
            <w:sz w:val="20"/>
            <w:szCs w:val="20"/>
          </w:rPr>
          <w:t>justicesuduobogha@gmail.com</w:t>
        </w:r>
      </w:hyperlink>
      <w:r w:rsidRPr="0074114D">
        <w:rPr>
          <w:color w:val="000000"/>
          <w:sz w:val="20"/>
          <w:szCs w:val="20"/>
        </w:rPr>
        <w:t>; </w:t>
      </w:r>
    </w:p>
  </w:footnote>
  <w:footnote w:id="2">
    <w:p w14:paraId="00000062" w14:textId="77777777" w:rsidR="00AF5996" w:rsidRPr="0074114D" w:rsidRDefault="00083456">
      <w:pPr>
        <w:widowControl/>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P </w:t>
      </w:r>
      <w:proofErr w:type="spellStart"/>
      <w:r w:rsidRPr="0074114D">
        <w:rPr>
          <w:rFonts w:ascii="Times New Roman" w:eastAsia="Times New Roman" w:hAnsi="Times New Roman" w:cs="Times New Roman"/>
          <w:color w:val="000000"/>
          <w:sz w:val="20"/>
          <w:szCs w:val="20"/>
        </w:rPr>
        <w:t>Okeke</w:t>
      </w:r>
      <w:proofErr w:type="spellEnd"/>
      <w:r w:rsidRPr="0074114D">
        <w:rPr>
          <w:rFonts w:ascii="Times New Roman" w:eastAsia="Times New Roman" w:hAnsi="Times New Roman" w:cs="Times New Roman"/>
          <w:color w:val="000000"/>
          <w:sz w:val="20"/>
          <w:szCs w:val="20"/>
        </w:rPr>
        <w:t>, 'Online Contracts in Nigeria: Formation and Challenges' (SSRN, 26 February 2026) &lt;</w:t>
      </w:r>
      <w:hyperlink r:id="rId2">
        <w:r w:rsidRPr="0074114D">
          <w:rPr>
            <w:rFonts w:ascii="Times New Roman" w:eastAsia="Times New Roman" w:hAnsi="Times New Roman" w:cs="Times New Roman"/>
            <w:color w:val="0000FF"/>
            <w:sz w:val="20"/>
            <w:szCs w:val="20"/>
            <w:u w:val="single"/>
          </w:rPr>
          <w:t>https://ssrn.com/abstract=6465558</w:t>
        </w:r>
      </w:hyperlink>
      <w:r w:rsidRPr="0074114D">
        <w:rPr>
          <w:rFonts w:ascii="Times New Roman" w:eastAsia="Times New Roman" w:hAnsi="Times New Roman" w:cs="Times New Roman"/>
          <w:color w:val="000000"/>
          <w:sz w:val="20"/>
          <w:szCs w:val="20"/>
        </w:rPr>
        <w:t>&gt;</w:t>
      </w:r>
      <w:r w:rsidRPr="0074114D">
        <w:rPr>
          <w:rFonts w:ascii="Times New Roman" w:eastAsia="Times New Roman" w:hAnsi="Times New Roman" w:cs="Times New Roman"/>
          <w:color w:val="000000"/>
          <w:sz w:val="20"/>
          <w:szCs w:val="20"/>
        </w:rPr>
        <w:t xml:space="preserve"> accessed 4 June 2026, 2.</w:t>
      </w:r>
    </w:p>
  </w:footnote>
  <w:footnote w:id="3">
    <w:p w14:paraId="00000063"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N </w:t>
      </w:r>
      <w:proofErr w:type="spellStart"/>
      <w:r w:rsidRPr="0074114D">
        <w:rPr>
          <w:rFonts w:ascii="Times New Roman" w:eastAsia="Times New Roman" w:hAnsi="Times New Roman" w:cs="Times New Roman"/>
          <w:sz w:val="20"/>
          <w:szCs w:val="20"/>
        </w:rPr>
        <w:t>Zammit</w:t>
      </w:r>
      <w:proofErr w:type="spellEnd"/>
      <w:r w:rsidRPr="0074114D">
        <w:rPr>
          <w:rFonts w:ascii="Times New Roman" w:eastAsia="Times New Roman" w:hAnsi="Times New Roman" w:cs="Times New Roman"/>
          <w:sz w:val="20"/>
          <w:szCs w:val="20"/>
        </w:rPr>
        <w:t>, '“Freedom to cancel is not consent”: Italian Netflix ruling raises questions on subscription services' (</w:t>
      </w:r>
      <w:r w:rsidRPr="0074114D">
        <w:rPr>
          <w:rFonts w:ascii="Times New Roman" w:eastAsia="Times New Roman" w:hAnsi="Times New Roman" w:cs="Times New Roman"/>
          <w:i/>
          <w:iCs/>
          <w:sz w:val="20"/>
          <w:szCs w:val="20"/>
        </w:rPr>
        <w:t>BusinessNow.mt</w:t>
      </w:r>
      <w:r w:rsidRPr="0074114D">
        <w:rPr>
          <w:rFonts w:ascii="Times New Roman" w:eastAsia="Times New Roman" w:hAnsi="Times New Roman" w:cs="Times New Roman"/>
          <w:sz w:val="20"/>
          <w:szCs w:val="20"/>
        </w:rPr>
        <w:t>, 6 May 2026) &lt;</w:t>
      </w:r>
      <w:hyperlink r:id="rId3">
        <w:r w:rsidRPr="0074114D">
          <w:rPr>
            <w:rFonts w:ascii="Times New Roman" w:eastAsia="Times New Roman" w:hAnsi="Times New Roman" w:cs="Times New Roman"/>
            <w:color w:val="0000FF"/>
            <w:sz w:val="20"/>
            <w:szCs w:val="20"/>
            <w:u w:val="single"/>
          </w:rPr>
          <w:t>https://businessnow.mt/freedom-to-cancel-is-not-consent-italian-netflix-ruling-raises-questions-on-subscription-services/</w:t>
        </w:r>
      </w:hyperlink>
      <w:r w:rsidRPr="0074114D">
        <w:rPr>
          <w:rFonts w:ascii="Times New Roman" w:eastAsia="Times New Roman" w:hAnsi="Times New Roman" w:cs="Times New Roman"/>
          <w:sz w:val="20"/>
          <w:szCs w:val="20"/>
        </w:rPr>
        <w:t xml:space="preserve">&gt; accessed 5 June 2026; J Carter, 'Rome Court Orders Netflix to Refund Italian </w:t>
      </w:r>
      <w:r w:rsidRPr="0074114D">
        <w:rPr>
          <w:rFonts w:ascii="Times New Roman" w:eastAsia="Times New Roman" w:hAnsi="Times New Roman" w:cs="Times New Roman"/>
          <w:sz w:val="20"/>
          <w:szCs w:val="20"/>
        </w:rPr>
        <w:t>Subscribers Over Unlawful Price Hikes Sparking EU-Wide Legal Ripples' (</w:t>
      </w:r>
      <w:r w:rsidRPr="0074114D">
        <w:rPr>
          <w:rFonts w:ascii="Times New Roman" w:eastAsia="Times New Roman" w:hAnsi="Times New Roman" w:cs="Times New Roman"/>
          <w:i/>
          <w:iCs/>
          <w:sz w:val="20"/>
          <w:szCs w:val="20"/>
        </w:rPr>
        <w:t>AltSignals.io</w:t>
      </w:r>
      <w:r w:rsidRPr="0074114D">
        <w:rPr>
          <w:rFonts w:ascii="Times New Roman" w:eastAsia="Times New Roman" w:hAnsi="Times New Roman" w:cs="Times New Roman"/>
          <w:sz w:val="20"/>
          <w:szCs w:val="20"/>
        </w:rPr>
        <w:t>, 3 April 2026) &lt;</w:t>
      </w:r>
      <w:hyperlink r:id="rId4">
        <w:r w:rsidRPr="0074114D">
          <w:rPr>
            <w:rFonts w:ascii="Times New Roman" w:eastAsia="Times New Roman" w:hAnsi="Times New Roman" w:cs="Times New Roman"/>
            <w:color w:val="0000FF"/>
            <w:sz w:val="20"/>
            <w:szCs w:val="20"/>
            <w:u w:val="single"/>
          </w:rPr>
          <w:t>https://altsignals.io/post/rome-court-netflix-price-hike-ruling</w:t>
        </w:r>
      </w:hyperlink>
      <w:r w:rsidRPr="0074114D">
        <w:rPr>
          <w:rFonts w:ascii="Times New Roman" w:eastAsia="Times New Roman" w:hAnsi="Times New Roman" w:cs="Times New Roman"/>
          <w:sz w:val="20"/>
          <w:szCs w:val="20"/>
        </w:rPr>
        <w:t>&gt; accesse</w:t>
      </w:r>
      <w:r w:rsidRPr="0074114D">
        <w:rPr>
          <w:rFonts w:ascii="Times New Roman" w:eastAsia="Times New Roman" w:hAnsi="Times New Roman" w:cs="Times New Roman"/>
          <w:sz w:val="20"/>
          <w:szCs w:val="20"/>
        </w:rPr>
        <w:t>d 5 June 2026.</w:t>
      </w:r>
    </w:p>
  </w:footnote>
  <w:footnote w:id="4">
    <w:p w14:paraId="00000064"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B A Garner (</w:t>
      </w:r>
      <w:proofErr w:type="spellStart"/>
      <w:r w:rsidRPr="0074114D">
        <w:rPr>
          <w:rFonts w:ascii="Times New Roman" w:eastAsia="Times New Roman" w:hAnsi="Times New Roman" w:cs="Times New Roman"/>
          <w:sz w:val="20"/>
          <w:szCs w:val="20"/>
        </w:rPr>
        <w:t>ed</w:t>
      </w:r>
      <w:proofErr w:type="spellEnd"/>
      <w:r w:rsidRPr="0074114D">
        <w:rPr>
          <w:rFonts w:ascii="Times New Roman" w:eastAsia="Times New Roman" w:hAnsi="Times New Roman" w:cs="Times New Roman"/>
          <w:sz w:val="20"/>
          <w:szCs w:val="20"/>
        </w:rPr>
        <w:t xml:space="preserve">), </w:t>
      </w:r>
      <w:r w:rsidRPr="0074114D">
        <w:rPr>
          <w:rFonts w:ascii="Times New Roman" w:eastAsia="Times New Roman" w:hAnsi="Times New Roman" w:cs="Times New Roman"/>
          <w:i/>
          <w:iCs/>
          <w:sz w:val="20"/>
          <w:szCs w:val="20"/>
        </w:rPr>
        <w:t>Black's Law Dictionary</w:t>
      </w:r>
      <w:r w:rsidRPr="0074114D">
        <w:rPr>
          <w:rFonts w:ascii="Times New Roman" w:eastAsia="Times New Roman" w:hAnsi="Times New Roman" w:cs="Times New Roman"/>
          <w:sz w:val="20"/>
          <w:szCs w:val="20"/>
        </w:rPr>
        <w:t xml:space="preserve"> (10th </w:t>
      </w:r>
      <w:proofErr w:type="spellStart"/>
      <w:r w:rsidRPr="0074114D">
        <w:rPr>
          <w:rFonts w:ascii="Times New Roman" w:eastAsia="Times New Roman" w:hAnsi="Times New Roman" w:cs="Times New Roman"/>
          <w:sz w:val="20"/>
          <w:szCs w:val="20"/>
        </w:rPr>
        <w:t>edn</w:t>
      </w:r>
      <w:proofErr w:type="spellEnd"/>
      <w:r w:rsidRPr="0074114D">
        <w:rPr>
          <w:rFonts w:ascii="Times New Roman" w:eastAsia="Times New Roman" w:hAnsi="Times New Roman" w:cs="Times New Roman"/>
          <w:sz w:val="20"/>
          <w:szCs w:val="20"/>
        </w:rPr>
        <w:t xml:space="preserve">, Thomson Reuters 2014) 389 </w:t>
      </w:r>
    </w:p>
  </w:footnote>
  <w:footnote w:id="5">
    <w:p w14:paraId="00000065"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Ibid, 390</w:t>
      </w:r>
    </w:p>
  </w:footnote>
  <w:footnote w:id="6">
    <w:p w14:paraId="00000066"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 K </w:t>
      </w:r>
      <w:proofErr w:type="spellStart"/>
      <w:r w:rsidRPr="0074114D">
        <w:rPr>
          <w:rFonts w:ascii="Times New Roman" w:eastAsia="Times New Roman" w:hAnsi="Times New Roman" w:cs="Times New Roman"/>
          <w:color w:val="000000"/>
          <w:sz w:val="20"/>
          <w:szCs w:val="20"/>
        </w:rPr>
        <w:t>Ilobinso</w:t>
      </w:r>
      <w:proofErr w:type="spellEnd"/>
      <w:r w:rsidRPr="0074114D">
        <w:rPr>
          <w:rFonts w:ascii="Times New Roman" w:eastAsia="Times New Roman" w:hAnsi="Times New Roman" w:cs="Times New Roman"/>
          <w:color w:val="000000"/>
          <w:sz w:val="20"/>
          <w:szCs w:val="20"/>
        </w:rPr>
        <w:t xml:space="preserve">, 'Protecting Consumers in the Online Market from Unfair Contract Terms: The Nigerian Perspective' (2018) 14(1) </w:t>
      </w:r>
      <w:r w:rsidRPr="0074114D">
        <w:rPr>
          <w:rFonts w:ascii="Times New Roman" w:eastAsia="Times New Roman" w:hAnsi="Times New Roman" w:cs="Times New Roman"/>
          <w:i/>
          <w:iCs/>
          <w:color w:val="000000"/>
          <w:sz w:val="20"/>
          <w:szCs w:val="20"/>
        </w:rPr>
        <w:t>Nigerian Journal of Contemporary Law</w:t>
      </w:r>
      <w:r w:rsidRPr="0074114D">
        <w:rPr>
          <w:rFonts w:ascii="Times New Roman" w:eastAsia="Times New Roman" w:hAnsi="Times New Roman" w:cs="Times New Roman"/>
          <w:color w:val="000000"/>
          <w:sz w:val="20"/>
          <w:szCs w:val="20"/>
        </w:rPr>
        <w:t>, 53</w:t>
      </w:r>
    </w:p>
  </w:footnote>
  <w:footnote w:id="7">
    <w:p w14:paraId="00000067"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Ibid, 54.</w:t>
      </w:r>
    </w:p>
  </w:footnote>
  <w:footnote w:id="8">
    <w:p w14:paraId="00000068" w14:textId="67F6B789"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These online interactions vary across distinct digital adhesion formats, with enforceability depending on conspicuous notice and unambiguous assent. First, </w:t>
      </w:r>
      <w:proofErr w:type="spellStart"/>
      <w:r w:rsidRPr="0074114D">
        <w:rPr>
          <w:rFonts w:ascii="Times New Roman" w:eastAsia="Times New Roman" w:hAnsi="Times New Roman" w:cs="Times New Roman"/>
          <w:b/>
          <w:color w:val="000000"/>
          <w:sz w:val="20"/>
          <w:szCs w:val="20"/>
        </w:rPr>
        <w:t>Clickwrap</w:t>
      </w:r>
      <w:proofErr w:type="spellEnd"/>
      <w:r w:rsidRPr="0074114D">
        <w:rPr>
          <w:rFonts w:ascii="Times New Roman" w:eastAsia="Times New Roman" w:hAnsi="Times New Roman" w:cs="Times New Roman"/>
          <w:b/>
          <w:color w:val="000000"/>
          <w:sz w:val="20"/>
          <w:szCs w:val="20"/>
        </w:rPr>
        <w:t xml:space="preserve"> agreements</w:t>
      </w:r>
      <w:r w:rsidRPr="0074114D">
        <w:rPr>
          <w:rFonts w:ascii="Times New Roman" w:eastAsia="Times New Roman" w:hAnsi="Times New Roman" w:cs="Times New Roman"/>
          <w:color w:val="000000"/>
          <w:sz w:val="20"/>
          <w:szCs w:val="20"/>
        </w:rPr>
        <w:t xml:space="preserve"> require an active click or checking a box to signal agreement. For example, in</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i/>
          <w:iCs/>
          <w:color w:val="000000"/>
          <w:sz w:val="20"/>
          <w:szCs w:val="20"/>
        </w:rPr>
        <w:t>Feldman v. Google, Inc. 513 F. Supp. 2d 229 (E.D. Pa. 2007)</w:t>
      </w:r>
      <w:r w:rsidRPr="0074114D">
        <w:rPr>
          <w:rFonts w:ascii="Times New Roman" w:eastAsia="Times New Roman" w:hAnsi="Times New Roman" w:cs="Times New Roman"/>
          <w:color w:val="000000"/>
          <w:sz w:val="20"/>
          <w:szCs w:val="20"/>
        </w:rPr>
        <w:t xml:space="preserve"> the court enforced terms because the user took an affirmative step after reasonable notice. Second</w:t>
      </w:r>
      <w:r w:rsidRPr="0074114D">
        <w:rPr>
          <w:rFonts w:ascii="Times New Roman" w:eastAsia="Times New Roman" w:hAnsi="Times New Roman" w:cs="Times New Roman"/>
          <w:b/>
          <w:color w:val="000000"/>
          <w:sz w:val="20"/>
          <w:szCs w:val="20"/>
        </w:rPr>
        <w:t>, Scroll-wrap agreements</w:t>
      </w:r>
      <w:r w:rsidRPr="0074114D">
        <w:rPr>
          <w:rFonts w:ascii="Times New Roman" w:eastAsia="Times New Roman" w:hAnsi="Times New Roman" w:cs="Times New Roman"/>
          <w:color w:val="000000"/>
          <w:sz w:val="20"/>
          <w:szCs w:val="20"/>
        </w:rPr>
        <w:t xml:space="preserve"> strengthen this by forcing users to scroll through the full text before </w:t>
      </w:r>
      <w:r w:rsidRPr="0074114D">
        <w:rPr>
          <w:rFonts w:ascii="Times New Roman" w:eastAsia="Times New Roman" w:hAnsi="Times New Roman" w:cs="Times New Roman"/>
          <w:color w:val="000000"/>
          <w:sz w:val="20"/>
          <w:szCs w:val="20"/>
        </w:rPr>
        <w:t xml:space="preserve">the acceptance mechanism activates. Third, </w:t>
      </w:r>
      <w:proofErr w:type="spellStart"/>
      <w:r w:rsidRPr="0074114D">
        <w:rPr>
          <w:rFonts w:ascii="Times New Roman" w:eastAsia="Times New Roman" w:hAnsi="Times New Roman" w:cs="Times New Roman"/>
          <w:b/>
          <w:color w:val="000000"/>
          <w:sz w:val="20"/>
          <w:szCs w:val="20"/>
        </w:rPr>
        <w:t>browsewrap</w:t>
      </w:r>
      <w:proofErr w:type="spellEnd"/>
      <w:r w:rsidRPr="0074114D">
        <w:rPr>
          <w:rFonts w:ascii="Times New Roman" w:eastAsia="Times New Roman" w:hAnsi="Times New Roman" w:cs="Times New Roman"/>
          <w:b/>
          <w:color w:val="000000"/>
          <w:sz w:val="20"/>
          <w:szCs w:val="20"/>
        </w:rPr>
        <w:t xml:space="preserve"> agreements</w:t>
      </w:r>
      <w:r w:rsidRPr="0074114D">
        <w:rPr>
          <w:rFonts w:ascii="Times New Roman" w:eastAsia="Times New Roman" w:hAnsi="Times New Roman" w:cs="Times New Roman"/>
          <w:color w:val="000000"/>
          <w:sz w:val="20"/>
          <w:szCs w:val="20"/>
        </w:rPr>
        <w:t xml:space="preserve"> rely on passive navigation or continued use of the website. In </w:t>
      </w:r>
      <w:r w:rsidRPr="0074114D">
        <w:rPr>
          <w:rFonts w:ascii="Times New Roman" w:eastAsia="Times New Roman" w:hAnsi="Times New Roman" w:cs="Times New Roman"/>
          <w:i/>
          <w:iCs/>
          <w:color w:val="000000"/>
          <w:sz w:val="20"/>
          <w:szCs w:val="20"/>
        </w:rPr>
        <w:t>Berman v. Freedom Financial Network, LLC, 30 F.4th 849 (9th Cir. 2022),</w:t>
      </w:r>
      <w:r w:rsidRPr="0074114D">
        <w:rPr>
          <w:rFonts w:ascii="Times New Roman" w:eastAsia="Times New Roman" w:hAnsi="Times New Roman" w:cs="Times New Roman"/>
          <w:color w:val="000000"/>
          <w:sz w:val="20"/>
          <w:szCs w:val="20"/>
        </w:rPr>
        <w:t xml:space="preserve"> the court developed a two part test stating </w:t>
      </w:r>
      <w:r w:rsidR="0074114D" w:rsidRPr="0074114D">
        <w:rPr>
          <w:rFonts w:ascii="Times New Roman" w:eastAsia="Times New Roman" w:hAnsi="Times New Roman" w:cs="Times New Roman"/>
          <w:color w:val="000000"/>
          <w:sz w:val="20"/>
          <w:szCs w:val="20"/>
        </w:rPr>
        <w:t xml:space="preserve">that </w:t>
      </w:r>
      <w:proofErr w:type="spellStart"/>
      <w:r w:rsidR="0074114D" w:rsidRPr="0074114D">
        <w:rPr>
          <w:rFonts w:ascii="Times New Roman" w:eastAsia="Times New Roman" w:hAnsi="Times New Roman" w:cs="Times New Roman"/>
          <w:color w:val="000000"/>
          <w:sz w:val="20"/>
          <w:szCs w:val="20"/>
        </w:rPr>
        <w:t>browsewrap</w:t>
      </w:r>
      <w:proofErr w:type="spellEnd"/>
      <w:r w:rsidRPr="0074114D">
        <w:rPr>
          <w:rFonts w:ascii="Times New Roman" w:eastAsia="Times New Roman" w:hAnsi="Times New Roman" w:cs="Times New Roman"/>
          <w:color w:val="000000"/>
          <w:sz w:val="20"/>
          <w:szCs w:val="20"/>
        </w:rPr>
        <w:t xml:space="preserve"> requires (1) "reasonably conspicuous notice" and (2) an "unambiguous manifestation of assent." Because </w:t>
      </w:r>
      <w:proofErr w:type="spellStart"/>
      <w:r w:rsidRPr="0074114D">
        <w:rPr>
          <w:rFonts w:ascii="Times New Roman" w:eastAsia="Times New Roman" w:hAnsi="Times New Roman" w:cs="Times New Roman"/>
          <w:color w:val="000000"/>
          <w:sz w:val="20"/>
          <w:szCs w:val="20"/>
        </w:rPr>
        <w:t>browsewrap</w:t>
      </w:r>
      <w:proofErr w:type="spellEnd"/>
      <w:r w:rsidRPr="0074114D">
        <w:rPr>
          <w:rFonts w:ascii="Times New Roman" w:eastAsia="Times New Roman" w:hAnsi="Times New Roman" w:cs="Times New Roman"/>
          <w:color w:val="000000"/>
          <w:sz w:val="20"/>
          <w:szCs w:val="20"/>
        </w:rPr>
        <w:t xml:space="preserve"> typically hides links in dense footers with small fonts, courts consistently decline enforcement, as seen in </w:t>
      </w:r>
      <w:r w:rsidRPr="0074114D">
        <w:rPr>
          <w:rFonts w:ascii="Times New Roman" w:eastAsia="Times New Roman" w:hAnsi="Times New Roman" w:cs="Times New Roman"/>
          <w:i/>
          <w:iCs/>
          <w:color w:val="000000"/>
          <w:sz w:val="20"/>
          <w:szCs w:val="20"/>
        </w:rPr>
        <w:t>Nguyen v. Barnes &amp; Noble Inc</w:t>
      </w:r>
      <w:r w:rsidRPr="0074114D">
        <w:rPr>
          <w:rFonts w:ascii="Times New Roman" w:eastAsia="Times New Roman" w:hAnsi="Times New Roman" w:cs="Times New Roman"/>
          <w:i/>
          <w:iCs/>
          <w:color w:val="000000"/>
          <w:sz w:val="20"/>
          <w:szCs w:val="20"/>
        </w:rPr>
        <w:t>., 763 F.3d 1171 (9th Cir. 2014).</w:t>
      </w:r>
      <w:r w:rsidRPr="0074114D">
        <w:rPr>
          <w:rFonts w:ascii="Times New Roman" w:eastAsia="Times New Roman" w:hAnsi="Times New Roman" w:cs="Times New Roman"/>
          <w:color w:val="000000"/>
          <w:sz w:val="20"/>
          <w:szCs w:val="20"/>
        </w:rPr>
        <w:t xml:space="preserve"> Fourth, </w:t>
      </w:r>
      <w:r w:rsidRPr="0074114D">
        <w:rPr>
          <w:rFonts w:ascii="Times New Roman" w:eastAsia="Times New Roman" w:hAnsi="Times New Roman" w:cs="Times New Roman"/>
          <w:b/>
          <w:color w:val="000000"/>
          <w:sz w:val="20"/>
          <w:szCs w:val="20"/>
        </w:rPr>
        <w:t>Sign-in wrap agreements</w:t>
      </w:r>
      <w:r w:rsidRPr="0074114D">
        <w:rPr>
          <w:rFonts w:ascii="Times New Roman" w:eastAsia="Times New Roman" w:hAnsi="Times New Roman" w:cs="Times New Roman"/>
          <w:color w:val="000000"/>
          <w:sz w:val="20"/>
          <w:szCs w:val="20"/>
        </w:rPr>
        <w:t xml:space="preserve"> tie acceptance to an explicit action like clicking "Sign In" or "Create Account" next to hyperlinked terms stating that the user will be bound if an account is created or details are signed </w:t>
      </w:r>
      <w:r w:rsidRPr="0074114D">
        <w:rPr>
          <w:rFonts w:ascii="Times New Roman" w:eastAsia="Times New Roman" w:hAnsi="Times New Roman" w:cs="Times New Roman"/>
          <w:color w:val="000000"/>
          <w:sz w:val="20"/>
          <w:szCs w:val="20"/>
        </w:rPr>
        <w:t xml:space="preserve">in. This is legally binding if the website is designed with clear, uncluttered, and proximate notice. In </w:t>
      </w:r>
      <w:proofErr w:type="spellStart"/>
      <w:r w:rsidRPr="0074114D">
        <w:rPr>
          <w:rFonts w:ascii="Times New Roman" w:eastAsia="Times New Roman" w:hAnsi="Times New Roman" w:cs="Times New Roman"/>
          <w:color w:val="000000"/>
          <w:sz w:val="20"/>
          <w:szCs w:val="20"/>
        </w:rPr>
        <w:t>Chabolla</w:t>
      </w:r>
      <w:proofErr w:type="spellEnd"/>
      <w:r w:rsidRPr="0074114D">
        <w:rPr>
          <w:rFonts w:ascii="Times New Roman" w:eastAsia="Times New Roman" w:hAnsi="Times New Roman" w:cs="Times New Roman"/>
          <w:color w:val="000000"/>
          <w:sz w:val="20"/>
          <w:szCs w:val="20"/>
        </w:rPr>
        <w:t xml:space="preserve"> v. ClassPass Inc., No. 23-16212 (9th Cir. 2025) the contract was disregarded due to insufficiently conspicuous text. Finally, </w:t>
      </w:r>
      <w:r w:rsidRPr="0074114D">
        <w:rPr>
          <w:rFonts w:ascii="Times New Roman" w:eastAsia="Times New Roman" w:hAnsi="Times New Roman" w:cs="Times New Roman"/>
          <w:b/>
          <w:color w:val="000000"/>
          <w:sz w:val="20"/>
          <w:szCs w:val="20"/>
        </w:rPr>
        <w:t>shrink-wrap agre</w:t>
      </w:r>
      <w:r w:rsidRPr="0074114D">
        <w:rPr>
          <w:rFonts w:ascii="Times New Roman" w:eastAsia="Times New Roman" w:hAnsi="Times New Roman" w:cs="Times New Roman"/>
          <w:b/>
          <w:color w:val="000000"/>
          <w:sz w:val="20"/>
          <w:szCs w:val="20"/>
        </w:rPr>
        <w:t>ements</w:t>
      </w:r>
      <w:r w:rsidRPr="0074114D">
        <w:rPr>
          <w:rFonts w:ascii="Times New Roman" w:eastAsia="Times New Roman" w:hAnsi="Times New Roman" w:cs="Times New Roman"/>
          <w:color w:val="000000"/>
          <w:sz w:val="20"/>
          <w:szCs w:val="20"/>
        </w:rPr>
        <w:t xml:space="preserve"> imply acceptance when a user downloads, installs, or uses software after having a fair opportunity to review the terms, an approach rooted in the landmark case </w:t>
      </w:r>
      <w:proofErr w:type="spellStart"/>
      <w:r w:rsidRPr="0074114D">
        <w:rPr>
          <w:rFonts w:ascii="Times New Roman" w:eastAsia="Times New Roman" w:hAnsi="Times New Roman" w:cs="Times New Roman"/>
          <w:i/>
          <w:iCs/>
          <w:color w:val="000000"/>
          <w:sz w:val="20"/>
          <w:szCs w:val="20"/>
        </w:rPr>
        <w:t>ProCD</w:t>
      </w:r>
      <w:proofErr w:type="spellEnd"/>
      <w:r w:rsidRPr="0074114D">
        <w:rPr>
          <w:rFonts w:ascii="Times New Roman" w:eastAsia="Times New Roman" w:hAnsi="Times New Roman" w:cs="Times New Roman"/>
          <w:i/>
          <w:iCs/>
          <w:color w:val="000000"/>
          <w:sz w:val="20"/>
          <w:szCs w:val="20"/>
        </w:rPr>
        <w:t xml:space="preserve">, Inc. v. </w:t>
      </w:r>
      <w:proofErr w:type="spellStart"/>
      <w:r w:rsidRPr="0074114D">
        <w:rPr>
          <w:rFonts w:ascii="Times New Roman" w:eastAsia="Times New Roman" w:hAnsi="Times New Roman" w:cs="Times New Roman"/>
          <w:i/>
          <w:iCs/>
          <w:color w:val="000000"/>
          <w:sz w:val="20"/>
          <w:szCs w:val="20"/>
        </w:rPr>
        <w:t>Zeidenberg</w:t>
      </w:r>
      <w:proofErr w:type="spellEnd"/>
      <w:r w:rsidRPr="0074114D">
        <w:rPr>
          <w:rFonts w:ascii="Times New Roman" w:eastAsia="Times New Roman" w:hAnsi="Times New Roman" w:cs="Times New Roman"/>
          <w:i/>
          <w:iCs/>
          <w:color w:val="000000"/>
          <w:sz w:val="20"/>
          <w:szCs w:val="20"/>
        </w:rPr>
        <w:t>, 86 F.3d</w:t>
      </w:r>
      <w:r w:rsidRPr="0074114D">
        <w:rPr>
          <w:rFonts w:ascii="Times New Roman" w:eastAsia="Times New Roman" w:hAnsi="Times New Roman" w:cs="Times New Roman"/>
          <w:color w:val="000000"/>
          <w:sz w:val="20"/>
          <w:szCs w:val="20"/>
        </w:rPr>
        <w:t xml:space="preserve"> 1447 (7th Cir. 1996). See also- T J </w:t>
      </w:r>
      <w:proofErr w:type="spellStart"/>
      <w:r w:rsidRPr="0074114D">
        <w:rPr>
          <w:rFonts w:ascii="Times New Roman" w:eastAsia="Times New Roman" w:hAnsi="Times New Roman" w:cs="Times New Roman"/>
          <w:color w:val="000000"/>
          <w:sz w:val="20"/>
          <w:szCs w:val="20"/>
        </w:rPr>
        <w:t>Maronick</w:t>
      </w:r>
      <w:proofErr w:type="spellEnd"/>
      <w:r w:rsidRPr="0074114D">
        <w:rPr>
          <w:rFonts w:ascii="Times New Roman" w:eastAsia="Times New Roman" w:hAnsi="Times New Roman" w:cs="Times New Roman"/>
          <w:color w:val="000000"/>
          <w:sz w:val="20"/>
          <w:szCs w:val="20"/>
        </w:rPr>
        <w:t>, 'Do Cons</w:t>
      </w:r>
      <w:r w:rsidRPr="0074114D">
        <w:rPr>
          <w:rFonts w:ascii="Times New Roman" w:eastAsia="Times New Roman" w:hAnsi="Times New Roman" w:cs="Times New Roman"/>
          <w:color w:val="000000"/>
          <w:sz w:val="20"/>
          <w:szCs w:val="20"/>
        </w:rPr>
        <w:t xml:space="preserve">umers Read Terms of Service Agreements When Installing Software? -- A Two-Study Empirical Analysis --' (2014) 4(4) </w:t>
      </w:r>
      <w:r w:rsidRPr="0074114D">
        <w:rPr>
          <w:rFonts w:ascii="Times New Roman" w:eastAsia="Times New Roman" w:hAnsi="Times New Roman" w:cs="Times New Roman"/>
          <w:i/>
          <w:iCs/>
          <w:color w:val="000000"/>
          <w:sz w:val="20"/>
          <w:szCs w:val="20"/>
        </w:rPr>
        <w:t>International Journal of Business and</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i/>
          <w:iCs/>
          <w:color w:val="000000"/>
          <w:sz w:val="20"/>
          <w:szCs w:val="20"/>
        </w:rPr>
        <w:t>Social Research</w:t>
      </w:r>
      <w:r w:rsidRPr="0074114D">
        <w:rPr>
          <w:rFonts w:ascii="Times New Roman" w:eastAsia="Times New Roman" w:hAnsi="Times New Roman" w:cs="Times New Roman"/>
          <w:color w:val="000000"/>
          <w:sz w:val="20"/>
          <w:szCs w:val="20"/>
        </w:rPr>
        <w:t xml:space="preserve">, 3-5; I Ayres and A Schwartz, 'The No-Reading Problem in Consumer Contract Law' (2014) </w:t>
      </w:r>
      <w:r w:rsidRPr="0074114D">
        <w:rPr>
          <w:rFonts w:ascii="Times New Roman" w:eastAsia="Times New Roman" w:hAnsi="Times New Roman" w:cs="Times New Roman"/>
          <w:color w:val="000000"/>
          <w:sz w:val="20"/>
          <w:szCs w:val="20"/>
        </w:rPr>
        <w:t xml:space="preserve">66 </w:t>
      </w:r>
      <w:r w:rsidRPr="0074114D">
        <w:rPr>
          <w:rFonts w:ascii="Times New Roman" w:eastAsia="Times New Roman" w:hAnsi="Times New Roman" w:cs="Times New Roman"/>
          <w:i/>
          <w:iCs/>
          <w:color w:val="000000"/>
          <w:sz w:val="20"/>
          <w:szCs w:val="20"/>
        </w:rPr>
        <w:t>Stanford Law Review</w:t>
      </w:r>
      <w:r w:rsidRPr="0074114D">
        <w:rPr>
          <w:rFonts w:ascii="Times New Roman" w:eastAsia="Times New Roman" w:hAnsi="Times New Roman" w:cs="Times New Roman"/>
          <w:color w:val="000000"/>
          <w:sz w:val="20"/>
          <w:szCs w:val="20"/>
        </w:rPr>
        <w:t xml:space="preserve"> 545, 54</w:t>
      </w:r>
      <w:r w:rsidRPr="0074114D">
        <w:rPr>
          <w:rFonts w:ascii="Times New Roman" w:eastAsia="Times New Roman" w:hAnsi="Times New Roman" w:cs="Times New Roman"/>
          <w:sz w:val="20"/>
          <w:szCs w:val="20"/>
        </w:rPr>
        <w:t>6</w:t>
      </w:r>
    </w:p>
  </w:footnote>
  <w:footnote w:id="9">
    <w:p w14:paraId="00000069"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J M </w:t>
      </w:r>
      <w:proofErr w:type="spellStart"/>
      <w:r w:rsidRPr="0074114D">
        <w:rPr>
          <w:rFonts w:ascii="Times New Roman" w:eastAsia="Times New Roman" w:hAnsi="Times New Roman" w:cs="Times New Roman"/>
          <w:color w:val="000000"/>
          <w:sz w:val="20"/>
          <w:szCs w:val="20"/>
        </w:rPr>
        <w:t>Sklaroff</w:t>
      </w:r>
      <w:proofErr w:type="spellEnd"/>
      <w:r w:rsidRPr="0074114D">
        <w:rPr>
          <w:rFonts w:ascii="Times New Roman" w:eastAsia="Times New Roman" w:hAnsi="Times New Roman" w:cs="Times New Roman"/>
          <w:color w:val="000000"/>
          <w:sz w:val="20"/>
          <w:szCs w:val="20"/>
        </w:rPr>
        <w:t xml:space="preserve">, 'Smart Contracts and the Cost of Inflexibility' (2017) 166 </w:t>
      </w:r>
      <w:r w:rsidRPr="0074114D">
        <w:rPr>
          <w:rFonts w:ascii="Times New Roman" w:eastAsia="Times New Roman" w:hAnsi="Times New Roman" w:cs="Times New Roman"/>
          <w:i/>
          <w:iCs/>
          <w:color w:val="000000"/>
          <w:sz w:val="20"/>
          <w:szCs w:val="20"/>
        </w:rPr>
        <w:t>University of Pennsylvania Law Review</w:t>
      </w:r>
      <w:r w:rsidRPr="0074114D">
        <w:rPr>
          <w:rFonts w:ascii="Times New Roman" w:eastAsia="Times New Roman" w:hAnsi="Times New Roman" w:cs="Times New Roman"/>
          <w:color w:val="000000"/>
          <w:sz w:val="20"/>
          <w:szCs w:val="20"/>
        </w:rPr>
        <w:t xml:space="preserve"> 263-303; A Mahathir, 'Standard Form Contract Relating Digital Law Requires an Improvement to be Clearer and Mor</w:t>
      </w:r>
      <w:r w:rsidRPr="0074114D">
        <w:rPr>
          <w:rFonts w:ascii="Times New Roman" w:eastAsia="Times New Roman" w:hAnsi="Times New Roman" w:cs="Times New Roman"/>
          <w:color w:val="000000"/>
          <w:sz w:val="20"/>
          <w:szCs w:val="20"/>
        </w:rPr>
        <w:t>e Accessible?' (</w:t>
      </w:r>
      <w:proofErr w:type="spellStart"/>
      <w:r w:rsidRPr="0074114D">
        <w:rPr>
          <w:rFonts w:ascii="Times New Roman" w:eastAsia="Times New Roman" w:hAnsi="Times New Roman" w:cs="Times New Roman"/>
          <w:i/>
          <w:iCs/>
          <w:color w:val="000000"/>
          <w:sz w:val="20"/>
          <w:szCs w:val="20"/>
        </w:rPr>
        <w:t>ResearchGate</w:t>
      </w:r>
      <w:proofErr w:type="spellEnd"/>
      <w:r w:rsidRPr="0074114D">
        <w:rPr>
          <w:rFonts w:ascii="Times New Roman" w:eastAsia="Times New Roman" w:hAnsi="Times New Roman" w:cs="Times New Roman"/>
          <w:color w:val="000000"/>
          <w:sz w:val="20"/>
          <w:szCs w:val="20"/>
        </w:rPr>
        <w:t>, January 2025) &lt;</w:t>
      </w:r>
      <w:hyperlink r:id="rId5">
        <w:r w:rsidRPr="0074114D">
          <w:rPr>
            <w:rFonts w:ascii="Times New Roman" w:eastAsia="Times New Roman" w:hAnsi="Times New Roman" w:cs="Times New Roman"/>
            <w:color w:val="0000FF"/>
            <w:sz w:val="20"/>
            <w:szCs w:val="20"/>
            <w:u w:val="single"/>
          </w:rPr>
          <w:t>https://www.researchgate.net/publicatio</w:t>
        </w:r>
        <w:r w:rsidRPr="0074114D">
          <w:rPr>
            <w:rFonts w:ascii="Times New Roman" w:eastAsia="Times New Roman" w:hAnsi="Times New Roman" w:cs="Times New Roman"/>
            <w:color w:val="0000FF"/>
            <w:sz w:val="20"/>
            <w:szCs w:val="20"/>
            <w:u w:val="single"/>
          </w:rPr>
          <w:t>n/387659294_Standard_form_contract_relating_digital_law_requires_an_improvement_to_be_clearer_and_more_accessible</w:t>
        </w:r>
      </w:hyperlink>
      <w:r w:rsidRPr="0074114D">
        <w:rPr>
          <w:rFonts w:ascii="Times New Roman" w:eastAsia="Times New Roman" w:hAnsi="Times New Roman" w:cs="Times New Roman"/>
          <w:color w:val="000000"/>
          <w:sz w:val="20"/>
          <w:szCs w:val="20"/>
        </w:rPr>
        <w:t>&gt; accessed 5 June 2026.</w:t>
      </w:r>
    </w:p>
  </w:footnote>
  <w:footnote w:id="10">
    <w:p w14:paraId="0000006A" w14:textId="77777777" w:rsidR="00AF5996" w:rsidRPr="0074114D" w:rsidRDefault="00083456">
      <w:pPr>
        <w:widowControl/>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Taura</w:t>
      </w:r>
      <w:proofErr w:type="spellEnd"/>
      <w:r w:rsidRPr="0074114D">
        <w:rPr>
          <w:rFonts w:ascii="Times New Roman" w:eastAsia="Times New Roman" w:hAnsi="Times New Roman" w:cs="Times New Roman"/>
          <w:color w:val="000000"/>
          <w:sz w:val="20"/>
          <w:szCs w:val="20"/>
        </w:rPr>
        <w:t xml:space="preserve"> v. </w:t>
      </w:r>
      <w:proofErr w:type="spellStart"/>
      <w:r w:rsidRPr="0074114D">
        <w:rPr>
          <w:rFonts w:ascii="Times New Roman" w:eastAsia="Times New Roman" w:hAnsi="Times New Roman" w:cs="Times New Roman"/>
          <w:color w:val="000000"/>
          <w:sz w:val="20"/>
          <w:szCs w:val="20"/>
        </w:rPr>
        <w:t>Chukwu</w:t>
      </w:r>
      <w:proofErr w:type="spellEnd"/>
      <w:r w:rsidRPr="0074114D">
        <w:rPr>
          <w:rFonts w:ascii="Times New Roman" w:eastAsia="Times New Roman" w:hAnsi="Times New Roman" w:cs="Times New Roman"/>
          <w:color w:val="000000"/>
          <w:sz w:val="20"/>
          <w:szCs w:val="20"/>
        </w:rPr>
        <w:t xml:space="preserve"> (2018) LPELR-45990(CA); </w:t>
      </w:r>
      <w:proofErr w:type="spellStart"/>
      <w:r w:rsidRPr="0074114D">
        <w:rPr>
          <w:rFonts w:ascii="Times New Roman" w:eastAsia="Times New Roman" w:hAnsi="Times New Roman" w:cs="Times New Roman"/>
          <w:color w:val="000000"/>
          <w:sz w:val="20"/>
          <w:szCs w:val="20"/>
        </w:rPr>
        <w:t>Shena</w:t>
      </w:r>
      <w:proofErr w:type="spellEnd"/>
      <w:r w:rsidRPr="0074114D">
        <w:rPr>
          <w:rFonts w:ascii="Times New Roman" w:eastAsia="Times New Roman" w:hAnsi="Times New Roman" w:cs="Times New Roman"/>
          <w:color w:val="000000"/>
          <w:sz w:val="20"/>
          <w:szCs w:val="20"/>
        </w:rPr>
        <w:t xml:space="preserve"> Security Company Ltd v. </w:t>
      </w:r>
      <w:proofErr w:type="spellStart"/>
      <w:r w:rsidRPr="0074114D">
        <w:rPr>
          <w:rFonts w:ascii="Times New Roman" w:eastAsia="Times New Roman" w:hAnsi="Times New Roman" w:cs="Times New Roman"/>
          <w:color w:val="000000"/>
          <w:sz w:val="20"/>
          <w:szCs w:val="20"/>
        </w:rPr>
        <w:t>Afropak</w:t>
      </w:r>
      <w:proofErr w:type="spellEnd"/>
      <w:r w:rsidRPr="0074114D">
        <w:rPr>
          <w:rFonts w:ascii="Times New Roman" w:eastAsia="Times New Roman" w:hAnsi="Times New Roman" w:cs="Times New Roman"/>
          <w:color w:val="000000"/>
          <w:sz w:val="20"/>
          <w:szCs w:val="20"/>
        </w:rPr>
        <w:t xml:space="preserve"> (Nigeria) Ltd &amp; </w:t>
      </w:r>
      <w:proofErr w:type="spellStart"/>
      <w:r w:rsidRPr="0074114D">
        <w:rPr>
          <w:rFonts w:ascii="Times New Roman" w:eastAsia="Times New Roman" w:hAnsi="Times New Roman" w:cs="Times New Roman"/>
          <w:color w:val="000000"/>
          <w:sz w:val="20"/>
          <w:szCs w:val="20"/>
        </w:rPr>
        <w:t>Ors</w:t>
      </w:r>
      <w:proofErr w:type="spellEnd"/>
      <w:r w:rsidRPr="0074114D">
        <w:rPr>
          <w:rFonts w:ascii="Times New Roman" w:eastAsia="Times New Roman" w:hAnsi="Times New Roman" w:cs="Times New Roman"/>
          <w:color w:val="000000"/>
          <w:sz w:val="20"/>
          <w:szCs w:val="20"/>
        </w:rPr>
        <w:t xml:space="preserve"> (2008) LPELR-3052(S</w:t>
      </w:r>
      <w:r w:rsidRPr="0074114D">
        <w:rPr>
          <w:rFonts w:ascii="Times New Roman" w:eastAsia="Times New Roman" w:hAnsi="Times New Roman" w:cs="Times New Roman"/>
          <w:color w:val="000000"/>
          <w:sz w:val="20"/>
          <w:szCs w:val="20"/>
        </w:rPr>
        <w:t xml:space="preserve">C); </w:t>
      </w:r>
      <w:proofErr w:type="spellStart"/>
      <w:r w:rsidRPr="0074114D">
        <w:rPr>
          <w:rFonts w:ascii="Times New Roman" w:eastAsia="Times New Roman" w:hAnsi="Times New Roman" w:cs="Times New Roman"/>
          <w:color w:val="000000"/>
          <w:sz w:val="20"/>
          <w:szCs w:val="20"/>
        </w:rPr>
        <w:t>Okubule</w:t>
      </w:r>
      <w:proofErr w:type="spellEnd"/>
      <w:r w:rsidRPr="0074114D">
        <w:rPr>
          <w:rFonts w:ascii="Times New Roman" w:eastAsia="Times New Roman" w:hAnsi="Times New Roman" w:cs="Times New Roman"/>
          <w:color w:val="000000"/>
          <w:sz w:val="20"/>
          <w:szCs w:val="20"/>
        </w:rPr>
        <w:t xml:space="preserve"> v </w:t>
      </w:r>
      <w:proofErr w:type="spellStart"/>
      <w:r w:rsidRPr="0074114D">
        <w:rPr>
          <w:rFonts w:ascii="Times New Roman" w:eastAsia="Times New Roman" w:hAnsi="Times New Roman" w:cs="Times New Roman"/>
          <w:color w:val="000000"/>
          <w:sz w:val="20"/>
          <w:szCs w:val="20"/>
        </w:rPr>
        <w:t>Oyagbola</w:t>
      </w:r>
      <w:proofErr w:type="spellEnd"/>
      <w:r w:rsidRPr="0074114D">
        <w:rPr>
          <w:rFonts w:ascii="Times New Roman" w:eastAsia="Times New Roman" w:hAnsi="Times New Roman" w:cs="Times New Roman"/>
          <w:color w:val="000000"/>
          <w:sz w:val="20"/>
          <w:szCs w:val="20"/>
        </w:rPr>
        <w:t xml:space="preserve"> (1990) 4 NWLR (Pt 147) 723.</w:t>
      </w:r>
    </w:p>
  </w:footnote>
  <w:footnote w:id="11">
    <w:p w14:paraId="00000092"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w:t>
      </w:r>
      <w:proofErr w:type="spellStart"/>
      <w:r w:rsidRPr="0074114D">
        <w:rPr>
          <w:rFonts w:ascii="Times New Roman" w:eastAsia="Times New Roman" w:hAnsi="Times New Roman" w:cs="Times New Roman"/>
          <w:sz w:val="20"/>
          <w:szCs w:val="20"/>
        </w:rPr>
        <w:t>Abdullahi</w:t>
      </w:r>
      <w:proofErr w:type="spellEnd"/>
      <w:r w:rsidRPr="0074114D">
        <w:rPr>
          <w:rFonts w:ascii="Times New Roman" w:eastAsia="Times New Roman" w:hAnsi="Times New Roman" w:cs="Times New Roman"/>
          <w:sz w:val="20"/>
          <w:szCs w:val="20"/>
        </w:rPr>
        <w:t xml:space="preserve"> v. El-</w:t>
      </w:r>
      <w:proofErr w:type="spellStart"/>
      <w:r w:rsidRPr="0074114D">
        <w:rPr>
          <w:rFonts w:ascii="Times New Roman" w:eastAsia="Times New Roman" w:hAnsi="Times New Roman" w:cs="Times New Roman"/>
          <w:sz w:val="20"/>
          <w:szCs w:val="20"/>
        </w:rPr>
        <w:t>Rufai</w:t>
      </w:r>
      <w:proofErr w:type="spellEnd"/>
      <w:r w:rsidRPr="0074114D">
        <w:rPr>
          <w:rFonts w:ascii="Times New Roman" w:eastAsia="Times New Roman" w:hAnsi="Times New Roman" w:cs="Times New Roman"/>
          <w:sz w:val="20"/>
          <w:szCs w:val="20"/>
        </w:rPr>
        <w:t xml:space="preserve"> (2022) 1 NWLR (Pt. 1811) 209</w:t>
      </w:r>
    </w:p>
  </w:footnote>
  <w:footnote w:id="12">
    <w:p w14:paraId="0000006B"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Meyer v. Uber Technologies, 868 F.3d 66 (2d Cir. 2017); Feldman v. Google, Inc., No. 2:06-cv-02540, Doc. 25 (E.D. Pa. Mar. 28, 2007)</w:t>
      </w:r>
    </w:p>
  </w:footnote>
  <w:footnote w:id="13">
    <w:p w14:paraId="0000006C"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Zappos.com v. Customer Data Sec. Breach Litigation, 893 F. Supp. 2d 1058 (D. Nev. 2012); see also Specht v. Netscape </w:t>
      </w:r>
      <w:proofErr w:type="spellStart"/>
      <w:r w:rsidRPr="0074114D">
        <w:rPr>
          <w:rFonts w:ascii="Times New Roman" w:eastAsia="Times New Roman" w:hAnsi="Times New Roman" w:cs="Times New Roman"/>
          <w:color w:val="000000"/>
          <w:sz w:val="20"/>
          <w:szCs w:val="20"/>
        </w:rPr>
        <w:t>Commc’ns</w:t>
      </w:r>
      <w:proofErr w:type="spellEnd"/>
      <w:r w:rsidRPr="0074114D">
        <w:rPr>
          <w:rFonts w:ascii="Times New Roman" w:eastAsia="Times New Roman" w:hAnsi="Times New Roman" w:cs="Times New Roman"/>
          <w:color w:val="000000"/>
          <w:sz w:val="20"/>
          <w:szCs w:val="20"/>
        </w:rPr>
        <w:t xml:space="preserve"> Corp., 306 F.3d 17 (2d Cir. 2002)</w:t>
      </w:r>
    </w:p>
  </w:footnote>
  <w:footnote w:id="14">
    <w:p w14:paraId="0000006D"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Burr &amp; Forman, ‘Formation and Enforcement of Online Contracts’ (12 October 2021) &lt;</w:t>
      </w:r>
      <w:hyperlink r:id="rId6">
        <w:r w:rsidRPr="0074114D">
          <w:rPr>
            <w:rFonts w:ascii="Times New Roman" w:eastAsia="Times New Roman" w:hAnsi="Times New Roman" w:cs="Times New Roman"/>
            <w:color w:val="0000FF"/>
            <w:sz w:val="20"/>
            <w:szCs w:val="20"/>
            <w:u w:val="single"/>
          </w:rPr>
          <w:t>https://www.burr.com/newsroom/articles/formation-and-enforcement-of-on-line-contracts</w:t>
        </w:r>
      </w:hyperlink>
      <w:r w:rsidRPr="0074114D">
        <w:rPr>
          <w:rFonts w:ascii="Times New Roman" w:eastAsia="Times New Roman" w:hAnsi="Times New Roman" w:cs="Times New Roman"/>
          <w:color w:val="000000"/>
          <w:sz w:val="20"/>
          <w:szCs w:val="20"/>
        </w:rPr>
        <w:t>&gt; accessed 11 June 2026; J M Deshpande, ‘Click Wrap Agreements: Valid Consent</w:t>
      </w:r>
      <w:r w:rsidRPr="0074114D">
        <w:rPr>
          <w:rFonts w:ascii="Times New Roman" w:eastAsia="Times New Roman" w:hAnsi="Times New Roman" w:cs="Times New Roman"/>
          <w:color w:val="000000"/>
          <w:sz w:val="20"/>
          <w:szCs w:val="20"/>
        </w:rPr>
        <w:t xml:space="preserve"> or Forced Acceptance?’ (17 February 2026) SSRN &lt;</w:t>
      </w:r>
      <w:hyperlink r:id="rId7">
        <w:r w:rsidRPr="0074114D">
          <w:rPr>
            <w:rFonts w:ascii="Times New Roman" w:eastAsia="Times New Roman" w:hAnsi="Times New Roman" w:cs="Times New Roman"/>
            <w:color w:val="0000FF"/>
            <w:sz w:val="20"/>
            <w:szCs w:val="20"/>
            <w:u w:val="single"/>
          </w:rPr>
          <w:t>https://ssrn.com/abstract=6256878</w:t>
        </w:r>
      </w:hyperlink>
      <w:r w:rsidRPr="0074114D">
        <w:rPr>
          <w:rFonts w:ascii="Times New Roman" w:eastAsia="Times New Roman" w:hAnsi="Times New Roman" w:cs="Times New Roman"/>
          <w:color w:val="000000"/>
          <w:sz w:val="20"/>
          <w:szCs w:val="20"/>
        </w:rPr>
        <w:t xml:space="preserve">&gt; accessed 11 June 2026. </w:t>
      </w:r>
    </w:p>
  </w:footnote>
  <w:footnote w:id="15">
    <w:p w14:paraId="0000006E" w14:textId="77777777" w:rsidR="00AF5996" w:rsidRPr="0074114D" w:rsidRDefault="00083456">
      <w:pPr>
        <w:widowControl/>
        <w:pBdr>
          <w:top w:val="nil"/>
          <w:left w:val="nil"/>
          <w:bottom w:val="nil"/>
          <w:right w:val="nil"/>
          <w:between w:val="nil"/>
        </w:pBdr>
        <w:jc w:val="both"/>
        <w:rPr>
          <w:rFonts w:ascii="Times New Roman" w:eastAsia="Times New Roman" w:hAnsi="Times New Roman" w:cs="Times New Roman"/>
          <w:color w:val="1F1F1F"/>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color w:val="1F1F1F"/>
          <w:sz w:val="20"/>
          <w:szCs w:val="20"/>
        </w:rPr>
        <w:t xml:space="preserve">The twin elements of offer and acceptance also aid in understanding how the element </w:t>
      </w:r>
      <w:r w:rsidRPr="0074114D">
        <w:rPr>
          <w:rFonts w:ascii="Times New Roman" w:eastAsia="Times New Roman" w:hAnsi="Times New Roman" w:cs="Times New Roman"/>
          <w:b/>
          <w:bCs/>
          <w:color w:val="1F1F1F"/>
          <w:sz w:val="20"/>
          <w:szCs w:val="20"/>
        </w:rPr>
        <w:t>of intention to create legal relations</w:t>
      </w:r>
      <w:r w:rsidRPr="0074114D">
        <w:rPr>
          <w:rFonts w:ascii="Times New Roman" w:eastAsia="Times New Roman" w:hAnsi="Times New Roman" w:cs="Times New Roman"/>
          <w:color w:val="1F1F1F"/>
          <w:sz w:val="20"/>
          <w:szCs w:val="20"/>
        </w:rPr>
        <w:t xml:space="preserve"> is satisfied in a digital adhesion contract. This element depends on an objective exchange between the digital service provider </w:t>
      </w:r>
      <w:r w:rsidRPr="0074114D">
        <w:rPr>
          <w:rFonts w:ascii="Times New Roman" w:eastAsia="Times New Roman" w:hAnsi="Times New Roman" w:cs="Times New Roman"/>
          <w:color w:val="1F1F1F"/>
          <w:sz w:val="20"/>
          <w:szCs w:val="20"/>
        </w:rPr>
        <w:t>and the consumer. The intention to create legal relationships is exhibited across all digital contract formats through clear interface design and corresponding user action. In scroll wrap agreements intent is robustly demonstrated because the system ensure</w:t>
      </w:r>
      <w:r w:rsidRPr="0074114D">
        <w:rPr>
          <w:rFonts w:ascii="Times New Roman" w:eastAsia="Times New Roman" w:hAnsi="Times New Roman" w:cs="Times New Roman"/>
          <w:color w:val="1F1F1F"/>
          <w:sz w:val="20"/>
          <w:szCs w:val="20"/>
        </w:rPr>
        <w:t xml:space="preserve">s the user navigates the terms before providing assent. Similarly </w:t>
      </w:r>
      <w:proofErr w:type="spellStart"/>
      <w:r w:rsidRPr="0074114D">
        <w:rPr>
          <w:rFonts w:ascii="Times New Roman" w:eastAsia="Times New Roman" w:hAnsi="Times New Roman" w:cs="Times New Roman"/>
          <w:color w:val="1F1F1F"/>
          <w:sz w:val="20"/>
          <w:szCs w:val="20"/>
        </w:rPr>
        <w:t>clickwrap</w:t>
      </w:r>
      <w:proofErr w:type="spellEnd"/>
      <w:r w:rsidRPr="0074114D">
        <w:rPr>
          <w:rFonts w:ascii="Times New Roman" w:eastAsia="Times New Roman" w:hAnsi="Times New Roman" w:cs="Times New Roman"/>
          <w:color w:val="1F1F1F"/>
          <w:sz w:val="20"/>
          <w:szCs w:val="20"/>
        </w:rPr>
        <w:t xml:space="preserve"> and sign in wrap frameworks manifest intent efficiently through a direct physical step such as checking a box or clicking a registration button placed right next to visible hyperli</w:t>
      </w:r>
      <w:r w:rsidRPr="0074114D">
        <w:rPr>
          <w:rFonts w:ascii="Times New Roman" w:eastAsia="Times New Roman" w:hAnsi="Times New Roman" w:cs="Times New Roman"/>
          <w:color w:val="1F1F1F"/>
          <w:sz w:val="20"/>
          <w:szCs w:val="20"/>
        </w:rPr>
        <w:t xml:space="preserve">nks. When properly designed </w:t>
      </w:r>
      <w:proofErr w:type="spellStart"/>
      <w:r w:rsidRPr="0074114D">
        <w:rPr>
          <w:rFonts w:ascii="Times New Roman" w:eastAsia="Times New Roman" w:hAnsi="Times New Roman" w:cs="Times New Roman"/>
          <w:color w:val="1F1F1F"/>
          <w:sz w:val="20"/>
          <w:szCs w:val="20"/>
        </w:rPr>
        <w:t>browsewrap</w:t>
      </w:r>
      <w:proofErr w:type="spellEnd"/>
      <w:r w:rsidRPr="0074114D">
        <w:rPr>
          <w:rFonts w:ascii="Times New Roman" w:eastAsia="Times New Roman" w:hAnsi="Times New Roman" w:cs="Times New Roman"/>
          <w:color w:val="1F1F1F"/>
          <w:sz w:val="20"/>
          <w:szCs w:val="20"/>
        </w:rPr>
        <w:t xml:space="preserve"> agreements also successfully exhibit contractual intent by placing highly visible notices in prominent banners at the top of the webpage so that continued navigation becomes a conscious acceptance of the terms. Finall</w:t>
      </w:r>
      <w:r w:rsidRPr="0074114D">
        <w:rPr>
          <w:rFonts w:ascii="Times New Roman" w:eastAsia="Times New Roman" w:hAnsi="Times New Roman" w:cs="Times New Roman"/>
          <w:color w:val="1F1F1F"/>
          <w:sz w:val="20"/>
          <w:szCs w:val="20"/>
        </w:rPr>
        <w:t xml:space="preserve">y shrink wrap arrangements show intent practically when a user actively installs or operates software after receiving a full opportunity to review the accompanying policies. Across every layout a clear presentation paired with unambiguous user </w:t>
      </w:r>
      <w:proofErr w:type="spellStart"/>
      <w:r w:rsidRPr="0074114D">
        <w:rPr>
          <w:rFonts w:ascii="Times New Roman" w:eastAsia="Times New Roman" w:hAnsi="Times New Roman" w:cs="Times New Roman"/>
          <w:color w:val="1F1F1F"/>
          <w:sz w:val="20"/>
          <w:szCs w:val="20"/>
        </w:rPr>
        <w:t>behaviour</w:t>
      </w:r>
      <w:proofErr w:type="spellEnd"/>
      <w:r w:rsidRPr="0074114D">
        <w:rPr>
          <w:rFonts w:ascii="Times New Roman" w:eastAsia="Times New Roman" w:hAnsi="Times New Roman" w:cs="Times New Roman"/>
          <w:color w:val="1F1F1F"/>
          <w:sz w:val="20"/>
          <w:szCs w:val="20"/>
        </w:rPr>
        <w:t xml:space="preserve"> pr</w:t>
      </w:r>
      <w:r w:rsidRPr="0074114D">
        <w:rPr>
          <w:rFonts w:ascii="Times New Roman" w:eastAsia="Times New Roman" w:hAnsi="Times New Roman" w:cs="Times New Roman"/>
          <w:color w:val="1F1F1F"/>
          <w:sz w:val="20"/>
          <w:szCs w:val="20"/>
        </w:rPr>
        <w:t>ovides the objective evidence required to establish a mutual intention to enter a binding relationship.</w:t>
      </w:r>
    </w:p>
  </w:footnote>
  <w:footnote w:id="16">
    <w:p w14:paraId="0000006F" w14:textId="77777777" w:rsidR="00AF5996" w:rsidRPr="0074114D" w:rsidRDefault="00083456">
      <w:pPr>
        <w:jc w:val="both"/>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It is worthy to note that the absence of a financial consideration in digital contracts does not merely defeat the element of consideration. This is b</w:t>
      </w:r>
      <w:r w:rsidRPr="0074114D">
        <w:rPr>
          <w:rFonts w:ascii="Times New Roman" w:eastAsia="Times New Roman" w:hAnsi="Times New Roman" w:cs="Times New Roman"/>
          <w:sz w:val="20"/>
          <w:szCs w:val="20"/>
        </w:rPr>
        <w:t>ecause with the constant evolution of things, (though not yet statutorily provided for in Nigeria) consideration in this modern digital economy (as argued by many authors and prevalent in other foreign jurisdictions) has pivoted from its typical monetary b</w:t>
      </w:r>
      <w:r w:rsidRPr="0074114D">
        <w:rPr>
          <w:rFonts w:ascii="Times New Roman" w:eastAsia="Times New Roman" w:hAnsi="Times New Roman" w:cs="Times New Roman"/>
          <w:sz w:val="20"/>
          <w:szCs w:val="20"/>
        </w:rPr>
        <w:t xml:space="preserve">oundaries to even include digital assets, such as personal data, time, consumer attention, and behavioral telemetry. See OECD, </w:t>
      </w:r>
      <w:r w:rsidRPr="0074114D">
        <w:rPr>
          <w:rFonts w:ascii="Times New Roman" w:eastAsia="Times New Roman" w:hAnsi="Times New Roman" w:cs="Times New Roman"/>
          <w:i/>
          <w:iCs/>
          <w:sz w:val="20"/>
          <w:szCs w:val="20"/>
        </w:rPr>
        <w:t>Data-Driven Innovation: Big Data for Growth and Well-Being</w:t>
      </w:r>
      <w:r w:rsidRPr="0074114D">
        <w:rPr>
          <w:rFonts w:ascii="Times New Roman" w:eastAsia="Times New Roman" w:hAnsi="Times New Roman" w:cs="Times New Roman"/>
          <w:sz w:val="20"/>
          <w:szCs w:val="20"/>
        </w:rPr>
        <w:t xml:space="preserve"> (OECD Publishing 2015) 5, 21, 38; G.J. </w:t>
      </w:r>
      <w:proofErr w:type="spellStart"/>
      <w:r w:rsidRPr="0074114D">
        <w:rPr>
          <w:rFonts w:ascii="Times New Roman" w:eastAsia="Times New Roman" w:hAnsi="Times New Roman" w:cs="Times New Roman"/>
          <w:sz w:val="20"/>
          <w:szCs w:val="20"/>
        </w:rPr>
        <w:t>Dudás</w:t>
      </w:r>
      <w:proofErr w:type="spellEnd"/>
      <w:r w:rsidRPr="0074114D">
        <w:rPr>
          <w:rFonts w:ascii="Times New Roman" w:eastAsia="Times New Roman" w:hAnsi="Times New Roman" w:cs="Times New Roman"/>
          <w:sz w:val="20"/>
          <w:szCs w:val="20"/>
        </w:rPr>
        <w:t xml:space="preserve">, A.G. </w:t>
      </w:r>
      <w:proofErr w:type="spellStart"/>
      <w:r w:rsidRPr="0074114D">
        <w:rPr>
          <w:rFonts w:ascii="Times New Roman" w:eastAsia="Times New Roman" w:hAnsi="Times New Roman" w:cs="Times New Roman"/>
          <w:sz w:val="20"/>
          <w:szCs w:val="20"/>
        </w:rPr>
        <w:t>Kovács</w:t>
      </w:r>
      <w:proofErr w:type="spellEnd"/>
      <w:r w:rsidRPr="0074114D">
        <w:rPr>
          <w:rFonts w:ascii="Times New Roman" w:eastAsia="Times New Roman" w:hAnsi="Times New Roman" w:cs="Times New Roman"/>
          <w:sz w:val="20"/>
          <w:szCs w:val="20"/>
        </w:rPr>
        <w:t xml:space="preserve"> and M. Schul</w:t>
      </w:r>
      <w:r w:rsidRPr="0074114D">
        <w:rPr>
          <w:rFonts w:ascii="Times New Roman" w:eastAsia="Times New Roman" w:hAnsi="Times New Roman" w:cs="Times New Roman"/>
          <w:sz w:val="20"/>
          <w:szCs w:val="20"/>
        </w:rPr>
        <w:t xml:space="preserve">tz, 'Personal Data as Consideration' (2023) 2(9) </w:t>
      </w:r>
      <w:r w:rsidRPr="0074114D">
        <w:rPr>
          <w:rFonts w:ascii="Times New Roman" w:eastAsia="Times New Roman" w:hAnsi="Times New Roman" w:cs="Times New Roman"/>
          <w:i/>
          <w:iCs/>
          <w:sz w:val="20"/>
          <w:szCs w:val="20"/>
        </w:rPr>
        <w:t>Santander Art and Culture Law Review</w:t>
      </w:r>
      <w:r w:rsidRPr="0074114D">
        <w:rPr>
          <w:rFonts w:ascii="Times New Roman" w:eastAsia="Times New Roman" w:hAnsi="Times New Roman" w:cs="Times New Roman"/>
          <w:sz w:val="20"/>
          <w:szCs w:val="20"/>
        </w:rPr>
        <w:t xml:space="preserve"> 215–242. M Loos and J </w:t>
      </w:r>
      <w:proofErr w:type="spellStart"/>
      <w:r w:rsidRPr="0074114D">
        <w:rPr>
          <w:rFonts w:ascii="Times New Roman" w:eastAsia="Times New Roman" w:hAnsi="Times New Roman" w:cs="Times New Roman"/>
          <w:sz w:val="20"/>
          <w:szCs w:val="20"/>
        </w:rPr>
        <w:t>Luzak</w:t>
      </w:r>
      <w:proofErr w:type="spellEnd"/>
      <w:r w:rsidRPr="0074114D">
        <w:rPr>
          <w:rFonts w:ascii="Times New Roman" w:eastAsia="Times New Roman" w:hAnsi="Times New Roman" w:cs="Times New Roman"/>
          <w:sz w:val="20"/>
          <w:szCs w:val="20"/>
        </w:rPr>
        <w:t xml:space="preserve">, </w:t>
      </w:r>
      <w:r w:rsidRPr="0074114D">
        <w:rPr>
          <w:rFonts w:ascii="Times New Roman" w:eastAsia="Times New Roman" w:hAnsi="Times New Roman" w:cs="Times New Roman"/>
          <w:i/>
          <w:iCs/>
          <w:sz w:val="20"/>
          <w:szCs w:val="20"/>
        </w:rPr>
        <w:t>Update the Unfair Contract Terms Directive for Digital</w:t>
      </w:r>
      <w:r w:rsidRPr="0074114D">
        <w:rPr>
          <w:rFonts w:ascii="Times New Roman" w:eastAsia="Times New Roman" w:hAnsi="Times New Roman" w:cs="Times New Roman"/>
          <w:sz w:val="20"/>
          <w:szCs w:val="20"/>
        </w:rPr>
        <w:t xml:space="preserve"> </w:t>
      </w:r>
      <w:r w:rsidRPr="0074114D">
        <w:rPr>
          <w:rFonts w:ascii="Times New Roman" w:eastAsia="Times New Roman" w:hAnsi="Times New Roman" w:cs="Times New Roman"/>
          <w:i/>
          <w:iCs/>
          <w:sz w:val="20"/>
          <w:szCs w:val="20"/>
        </w:rPr>
        <w:t>Services</w:t>
      </w:r>
      <w:r w:rsidRPr="0074114D">
        <w:rPr>
          <w:rFonts w:ascii="Times New Roman" w:eastAsia="Times New Roman" w:hAnsi="Times New Roman" w:cs="Times New Roman"/>
          <w:sz w:val="20"/>
          <w:szCs w:val="20"/>
        </w:rPr>
        <w:t xml:space="preserve"> (PE 676.006, European Parliament 2021) 28, 29</w:t>
      </w:r>
    </w:p>
  </w:footnote>
  <w:footnote w:id="17">
    <w:p w14:paraId="00000070"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 K </w:t>
      </w:r>
      <w:proofErr w:type="spellStart"/>
      <w:r w:rsidRPr="0074114D">
        <w:rPr>
          <w:rFonts w:ascii="Times New Roman" w:eastAsia="Times New Roman" w:hAnsi="Times New Roman" w:cs="Times New Roman"/>
          <w:color w:val="000000"/>
          <w:sz w:val="20"/>
          <w:szCs w:val="20"/>
        </w:rPr>
        <w:t>Ilobinso</w:t>
      </w:r>
      <w:proofErr w:type="spellEnd"/>
      <w:r w:rsidRPr="0074114D">
        <w:rPr>
          <w:rFonts w:ascii="Times New Roman" w:eastAsia="Times New Roman" w:hAnsi="Times New Roman" w:cs="Times New Roman"/>
          <w:color w:val="000000"/>
          <w:sz w:val="20"/>
          <w:szCs w:val="20"/>
        </w:rPr>
        <w:t>, 'Protecting Con</w:t>
      </w:r>
      <w:r w:rsidRPr="0074114D">
        <w:rPr>
          <w:rFonts w:ascii="Times New Roman" w:eastAsia="Times New Roman" w:hAnsi="Times New Roman" w:cs="Times New Roman"/>
          <w:color w:val="000000"/>
          <w:sz w:val="20"/>
          <w:szCs w:val="20"/>
        </w:rPr>
        <w:t xml:space="preserve">sumers in the Online Market from Unfair Contract Terms: The Nigerian Perspective' (2018) 14(1) </w:t>
      </w:r>
      <w:r w:rsidRPr="0074114D">
        <w:rPr>
          <w:rFonts w:ascii="Times New Roman" w:eastAsia="Times New Roman" w:hAnsi="Times New Roman" w:cs="Times New Roman"/>
          <w:i/>
          <w:iCs/>
          <w:color w:val="000000"/>
          <w:sz w:val="20"/>
          <w:szCs w:val="20"/>
        </w:rPr>
        <w:t>Nigerian Journal of Contemporary Law</w:t>
      </w:r>
      <w:r w:rsidRPr="0074114D">
        <w:rPr>
          <w:rFonts w:ascii="Times New Roman" w:eastAsia="Times New Roman" w:hAnsi="Times New Roman" w:cs="Times New Roman"/>
          <w:color w:val="000000"/>
          <w:sz w:val="20"/>
          <w:szCs w:val="20"/>
        </w:rPr>
        <w:t>, 57</w:t>
      </w:r>
    </w:p>
  </w:footnote>
  <w:footnote w:id="18">
    <w:p w14:paraId="00000071"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Bragg v. Linden Research, Inc., 487 F. Supp. 2d 593 (E.D. Pa. 2007)</w:t>
      </w:r>
    </w:p>
  </w:footnote>
  <w:footnote w:id="19">
    <w:p w14:paraId="00000072"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Comb v. PayPal, Inc., 218 F. Supp. 2d 1165 (N.D. Cal. 2002)</w:t>
      </w:r>
    </w:p>
  </w:footnote>
  <w:footnote w:id="20">
    <w:p w14:paraId="00000073"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A Biondi and S </w:t>
      </w:r>
      <w:proofErr w:type="spellStart"/>
      <w:r w:rsidRPr="0074114D">
        <w:rPr>
          <w:rFonts w:ascii="Times New Roman" w:eastAsia="Times New Roman" w:hAnsi="Times New Roman" w:cs="Times New Roman"/>
          <w:color w:val="000000"/>
          <w:sz w:val="20"/>
          <w:szCs w:val="20"/>
        </w:rPr>
        <w:t>Monaci</w:t>
      </w:r>
      <w:proofErr w:type="spellEnd"/>
      <w:r w:rsidRPr="0074114D">
        <w:rPr>
          <w:rFonts w:ascii="Times New Roman" w:eastAsia="Times New Roman" w:hAnsi="Times New Roman" w:cs="Times New Roman"/>
          <w:color w:val="000000"/>
          <w:sz w:val="20"/>
          <w:szCs w:val="20"/>
        </w:rPr>
        <w:t>, ‘Netflix, unlawful price increases. Consumers: “Refunds up to 500 euros”. The company: we will appeal’ (</w:t>
      </w:r>
      <w:r w:rsidRPr="0074114D">
        <w:rPr>
          <w:rFonts w:ascii="Times New Roman" w:eastAsia="Times New Roman" w:hAnsi="Times New Roman" w:cs="Times New Roman"/>
          <w:i/>
          <w:iCs/>
          <w:color w:val="000000"/>
          <w:sz w:val="20"/>
          <w:szCs w:val="20"/>
        </w:rPr>
        <w:t>Il Sole 24 Ore</w:t>
      </w:r>
      <w:r w:rsidRPr="0074114D">
        <w:rPr>
          <w:rFonts w:ascii="Times New Roman" w:eastAsia="Times New Roman" w:hAnsi="Times New Roman" w:cs="Times New Roman"/>
          <w:color w:val="000000"/>
          <w:sz w:val="20"/>
          <w:szCs w:val="20"/>
        </w:rPr>
        <w:t>, 3 April 2026) &lt;</w:t>
      </w:r>
      <w:hyperlink r:id="rId8">
        <w:r w:rsidRPr="0074114D">
          <w:rPr>
            <w:rFonts w:ascii="Times New Roman" w:eastAsia="Times New Roman" w:hAnsi="Times New Roman" w:cs="Times New Roman"/>
            <w:color w:val="0000FF"/>
            <w:sz w:val="20"/>
            <w:szCs w:val="20"/>
            <w:u w:val="single"/>
          </w:rPr>
          <w:t>https://www.ilsole24ore.com/art/netflix-rincari-illegiti-consumatori-rimborsi-fino-500-euro-l-azienda-faremo-ricorso-AFCH96ND</w:t>
        </w:r>
      </w:hyperlink>
      <w:r w:rsidRPr="0074114D">
        <w:rPr>
          <w:rFonts w:ascii="Times New Roman" w:eastAsia="Times New Roman" w:hAnsi="Times New Roman" w:cs="Times New Roman"/>
          <w:color w:val="000000"/>
          <w:sz w:val="20"/>
          <w:szCs w:val="20"/>
        </w:rPr>
        <w:t>&gt; accessed 11 June 20</w:t>
      </w:r>
      <w:r w:rsidRPr="0074114D">
        <w:rPr>
          <w:rFonts w:ascii="Times New Roman" w:eastAsia="Times New Roman" w:hAnsi="Times New Roman" w:cs="Times New Roman"/>
          <w:color w:val="000000"/>
          <w:sz w:val="20"/>
          <w:szCs w:val="20"/>
        </w:rPr>
        <w:t>26.</w:t>
      </w:r>
    </w:p>
  </w:footnote>
  <w:footnote w:id="21">
    <w:p w14:paraId="00000074"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E </w:t>
      </w:r>
      <w:proofErr w:type="spellStart"/>
      <w:r w:rsidRPr="0074114D">
        <w:rPr>
          <w:rFonts w:ascii="Times New Roman" w:eastAsia="Times New Roman" w:hAnsi="Times New Roman" w:cs="Times New Roman"/>
          <w:color w:val="000000"/>
          <w:sz w:val="20"/>
          <w:szCs w:val="20"/>
        </w:rPr>
        <w:t>Fincken</w:t>
      </w:r>
      <w:proofErr w:type="spellEnd"/>
      <w:r w:rsidRPr="0074114D">
        <w:rPr>
          <w:rFonts w:ascii="Times New Roman" w:eastAsia="Times New Roman" w:hAnsi="Times New Roman" w:cs="Times New Roman"/>
          <w:color w:val="000000"/>
          <w:sz w:val="20"/>
          <w:szCs w:val="20"/>
        </w:rPr>
        <w:t>, ‘Italian court sides with consumer group in Netflix price-hike battle’ (</w:t>
      </w:r>
      <w:r w:rsidRPr="0074114D">
        <w:rPr>
          <w:rFonts w:ascii="Times New Roman" w:eastAsia="Times New Roman" w:hAnsi="Times New Roman" w:cs="Times New Roman"/>
          <w:i/>
          <w:iCs/>
          <w:color w:val="000000"/>
          <w:sz w:val="20"/>
          <w:szCs w:val="20"/>
        </w:rPr>
        <w:t>ICLG</w:t>
      </w:r>
      <w:r w:rsidRPr="0074114D">
        <w:rPr>
          <w:rFonts w:ascii="Times New Roman" w:eastAsia="Times New Roman" w:hAnsi="Times New Roman" w:cs="Times New Roman"/>
          <w:color w:val="000000"/>
          <w:sz w:val="20"/>
          <w:szCs w:val="20"/>
        </w:rPr>
        <w:t>, 7 April 2026) &lt;</w:t>
      </w:r>
      <w:hyperlink r:id="rId9">
        <w:r w:rsidRPr="0074114D">
          <w:rPr>
            <w:rFonts w:ascii="Times New Roman" w:eastAsia="Times New Roman" w:hAnsi="Times New Roman" w:cs="Times New Roman"/>
            <w:color w:val="0000FF"/>
            <w:sz w:val="20"/>
            <w:szCs w:val="20"/>
            <w:u w:val="single"/>
          </w:rPr>
          <w:t>https://iclg.com/news/23738-it</w:t>
        </w:r>
        <w:r w:rsidRPr="0074114D">
          <w:rPr>
            <w:rFonts w:ascii="Times New Roman" w:eastAsia="Times New Roman" w:hAnsi="Times New Roman" w:cs="Times New Roman"/>
            <w:color w:val="0000FF"/>
            <w:sz w:val="20"/>
            <w:szCs w:val="20"/>
            <w:u w:val="single"/>
          </w:rPr>
          <w:t>alian-court-sides-with-consumer-group-in-netflix-price-hike-battle</w:t>
        </w:r>
      </w:hyperlink>
      <w:r w:rsidRPr="0074114D">
        <w:rPr>
          <w:rFonts w:ascii="Times New Roman" w:eastAsia="Times New Roman" w:hAnsi="Times New Roman" w:cs="Times New Roman"/>
          <w:color w:val="000000"/>
          <w:sz w:val="20"/>
          <w:szCs w:val="20"/>
        </w:rPr>
        <w:t>&gt; accessed 11 June 2026; W. Cho, ‘Netflix Illegally Issued Price Hikes, Rome Court Rules. Users Could Get Refunds’ (</w:t>
      </w:r>
      <w:r w:rsidRPr="0074114D">
        <w:rPr>
          <w:rFonts w:ascii="Times New Roman" w:eastAsia="Times New Roman" w:hAnsi="Times New Roman" w:cs="Times New Roman"/>
          <w:i/>
          <w:iCs/>
          <w:color w:val="000000"/>
          <w:sz w:val="20"/>
          <w:szCs w:val="20"/>
        </w:rPr>
        <w:t>The</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i/>
          <w:iCs/>
          <w:color w:val="000000"/>
          <w:sz w:val="20"/>
          <w:szCs w:val="20"/>
        </w:rPr>
        <w:t>Hollywood Reporter</w:t>
      </w:r>
      <w:r w:rsidRPr="0074114D">
        <w:rPr>
          <w:rFonts w:ascii="Times New Roman" w:eastAsia="Times New Roman" w:hAnsi="Times New Roman" w:cs="Times New Roman"/>
          <w:color w:val="000000"/>
          <w:sz w:val="20"/>
          <w:szCs w:val="20"/>
        </w:rPr>
        <w:t>, 6 April 2026) &lt;</w:t>
      </w:r>
      <w:hyperlink r:id="rId10">
        <w:r w:rsidRPr="0074114D">
          <w:rPr>
            <w:rFonts w:ascii="Times New Roman" w:eastAsia="Times New Roman" w:hAnsi="Times New Roman" w:cs="Times New Roman"/>
            <w:color w:val="0000FF"/>
            <w:sz w:val="20"/>
            <w:szCs w:val="20"/>
            <w:u w:val="single"/>
          </w:rPr>
          <w:t>https://www.hollywoodreporter.com/business/business-news/netflix-illegal-price-hikes-rome-court-rules-refunds-1235867761/</w:t>
        </w:r>
      </w:hyperlink>
      <w:r w:rsidRPr="0074114D">
        <w:rPr>
          <w:rFonts w:ascii="Times New Roman" w:eastAsia="Times New Roman" w:hAnsi="Times New Roman" w:cs="Times New Roman"/>
          <w:color w:val="000000"/>
          <w:sz w:val="20"/>
          <w:szCs w:val="20"/>
        </w:rPr>
        <w:t>&gt; accessed 12 June 2026</w:t>
      </w:r>
    </w:p>
  </w:footnote>
  <w:footnote w:id="22">
    <w:p w14:paraId="00000075"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Similarly see also Articles 3 and Annex 1, points 1(j) of the EU Directive 93/13/EEC </w:t>
      </w:r>
    </w:p>
  </w:footnote>
  <w:footnote w:id="23">
    <w:p w14:paraId="00000076"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Consequent to this judgement, the court ordered Netflix to roll back its Italian subscription prices to their 2015 launch prices which were €11.99 for Premium and €9.9</w:t>
      </w:r>
      <w:r w:rsidRPr="0074114D">
        <w:rPr>
          <w:rFonts w:ascii="Times New Roman" w:eastAsia="Times New Roman" w:hAnsi="Times New Roman" w:cs="Times New Roman"/>
          <w:color w:val="000000"/>
          <w:sz w:val="20"/>
          <w:szCs w:val="20"/>
        </w:rPr>
        <w:t>9 for Standard subscribers. In other words it means that Netflix is now required to refund subscribers for the overcharged amounts collected between 2017 and January 2024. This means that a Premium subscriber who has paid continuously since 2017 is entitle</w:t>
      </w:r>
      <w:r w:rsidRPr="0074114D">
        <w:rPr>
          <w:rFonts w:ascii="Times New Roman" w:eastAsia="Times New Roman" w:hAnsi="Times New Roman" w:cs="Times New Roman"/>
          <w:color w:val="000000"/>
          <w:sz w:val="20"/>
          <w:szCs w:val="20"/>
        </w:rPr>
        <w:t>d to a refund of approximately €500, while a Standard subscriber is due roughly €250. Netflix was also given a 90-day window to notify all eligible users or face a daily fine of €700</w:t>
      </w:r>
    </w:p>
  </w:footnote>
  <w:footnote w:id="24">
    <w:p w14:paraId="00000093" w14:textId="77777777" w:rsidR="00AF5996" w:rsidRPr="0074114D" w:rsidRDefault="00083456">
      <w:pPr>
        <w:jc w:val="both"/>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Note that the requirement of giving notice and allowing users to cancel and exit is provided under Annex 1, points 1(l) and 2(b) of the E</w:t>
      </w:r>
      <w:r w:rsidRPr="0074114D">
        <w:rPr>
          <w:rFonts w:ascii="Times New Roman" w:eastAsia="Times New Roman" w:hAnsi="Times New Roman" w:cs="Times New Roman"/>
          <w:sz w:val="20"/>
          <w:szCs w:val="20"/>
        </w:rPr>
        <w:t>U Directive 93/13/EEC and Article 33(2)(o) of the Italian Consumer Code (</w:t>
      </w:r>
      <w:proofErr w:type="spellStart"/>
      <w:r w:rsidRPr="0074114D">
        <w:rPr>
          <w:rFonts w:ascii="Times New Roman" w:eastAsia="Times New Roman" w:hAnsi="Times New Roman" w:cs="Times New Roman"/>
          <w:sz w:val="20"/>
          <w:szCs w:val="20"/>
        </w:rPr>
        <w:t>Codice</w:t>
      </w:r>
      <w:proofErr w:type="spellEnd"/>
      <w:r w:rsidRPr="0074114D">
        <w:rPr>
          <w:rFonts w:ascii="Times New Roman" w:eastAsia="Times New Roman" w:hAnsi="Times New Roman" w:cs="Times New Roman"/>
          <w:sz w:val="20"/>
          <w:szCs w:val="20"/>
        </w:rPr>
        <w:t xml:space="preserve"> del </w:t>
      </w:r>
      <w:proofErr w:type="spellStart"/>
      <w:r w:rsidRPr="0074114D">
        <w:rPr>
          <w:rFonts w:ascii="Times New Roman" w:eastAsia="Times New Roman" w:hAnsi="Times New Roman" w:cs="Times New Roman"/>
          <w:sz w:val="20"/>
          <w:szCs w:val="20"/>
        </w:rPr>
        <w:t>Consumo</w:t>
      </w:r>
      <w:proofErr w:type="spellEnd"/>
      <w:r w:rsidRPr="0074114D">
        <w:rPr>
          <w:rFonts w:ascii="Times New Roman" w:eastAsia="Times New Roman" w:hAnsi="Times New Roman" w:cs="Times New Roman"/>
          <w:sz w:val="20"/>
          <w:szCs w:val="20"/>
        </w:rPr>
        <w:t xml:space="preserve">, Legislative Decree 206/2005, as amended). However, this is insufficient where a valid and justified reason for the increase has not been presented. </w:t>
      </w:r>
    </w:p>
  </w:footnote>
  <w:footnote w:id="25">
    <w:p w14:paraId="00000077" w14:textId="77777777" w:rsidR="00AF5996" w:rsidRPr="0074114D" w:rsidRDefault="00083456">
      <w:pPr>
        <w:widowControl/>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sz w:val="20"/>
          <w:szCs w:val="20"/>
        </w:rPr>
        <w:t xml:space="preserve">To more accurately capture the nature of the unfair terms discussed in </w:t>
      </w:r>
      <w:r w:rsidRPr="0074114D">
        <w:rPr>
          <w:rFonts w:ascii="Times New Roman" w:eastAsia="Times New Roman" w:hAnsi="Times New Roman" w:cs="Times New Roman"/>
          <w:sz w:val="20"/>
          <w:szCs w:val="20"/>
        </w:rPr>
        <w:t>this work, the writer has adopted this specific nomenclature, isolating clauses that permit unilateral price variations from the general name of unfair contract terms.</w:t>
      </w:r>
    </w:p>
  </w:footnote>
  <w:footnote w:id="26">
    <w:p w14:paraId="00000078" w14:textId="74499263"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Examples of such vague terms include phrases used by these Digital services providers </w:t>
      </w:r>
      <w:r w:rsidRPr="0074114D">
        <w:rPr>
          <w:rFonts w:ascii="Times New Roman" w:eastAsia="Times New Roman" w:hAnsi="Times New Roman" w:cs="Times New Roman"/>
          <w:color w:val="000000"/>
          <w:sz w:val="20"/>
          <w:szCs w:val="20"/>
        </w:rPr>
        <w:t xml:space="preserve">below. </w:t>
      </w:r>
      <w:r w:rsidRPr="0074114D">
        <w:rPr>
          <w:rFonts w:ascii="Times New Roman" w:eastAsia="Times New Roman" w:hAnsi="Times New Roman" w:cs="Times New Roman"/>
          <w:b/>
          <w:bCs/>
          <w:color w:val="000000"/>
          <w:sz w:val="20"/>
          <w:szCs w:val="20"/>
        </w:rPr>
        <w:t xml:space="preserve">Section 12.1 and 20.1 of Multi choice/DSTV term terms of service </w:t>
      </w:r>
      <w:r w:rsidRPr="0074114D">
        <w:rPr>
          <w:rFonts w:ascii="Times New Roman" w:eastAsia="Times New Roman" w:hAnsi="Times New Roman" w:cs="Times New Roman"/>
          <w:color w:val="000000"/>
          <w:sz w:val="20"/>
          <w:szCs w:val="20"/>
        </w:rPr>
        <w:t>states “</w:t>
      </w:r>
      <w:r w:rsidRPr="0074114D">
        <w:rPr>
          <w:rFonts w:ascii="Times New Roman" w:eastAsia="Times New Roman" w:hAnsi="Times New Roman" w:cs="Times New Roman"/>
          <w:i/>
          <w:iCs/>
          <w:color w:val="000000"/>
          <w:sz w:val="20"/>
          <w:szCs w:val="20"/>
        </w:rPr>
        <w:t>We can change the Fees… but will give you reasonable notice before we do this… we will treat it as if you have received a notice… displayed on your television screen or via Tex</w:t>
      </w:r>
      <w:r w:rsidRPr="0074114D">
        <w:rPr>
          <w:rFonts w:ascii="Times New Roman" w:eastAsia="Times New Roman" w:hAnsi="Times New Roman" w:cs="Times New Roman"/>
          <w:i/>
          <w:iCs/>
          <w:color w:val="000000"/>
          <w:sz w:val="20"/>
          <w:szCs w:val="20"/>
        </w:rPr>
        <w:t>t Message</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b/>
          <w:bCs/>
          <w:color w:val="000000"/>
          <w:sz w:val="20"/>
          <w:szCs w:val="20"/>
        </w:rPr>
        <w:t>Section 3.3.2 of Spotify’s Terms of Service</w:t>
      </w:r>
      <w:r w:rsidRPr="0074114D">
        <w:rPr>
          <w:rFonts w:ascii="Times New Roman" w:eastAsia="Times New Roman" w:hAnsi="Times New Roman" w:cs="Times New Roman"/>
          <w:color w:val="000000"/>
          <w:sz w:val="20"/>
          <w:szCs w:val="20"/>
        </w:rPr>
        <w:t xml:space="preserve"> states that </w:t>
      </w:r>
      <w:r w:rsidR="0074114D" w:rsidRPr="0074114D">
        <w:rPr>
          <w:rFonts w:ascii="Times New Roman" w:eastAsia="Times New Roman" w:hAnsi="Times New Roman" w:cs="Times New Roman"/>
          <w:color w:val="000000"/>
          <w:sz w:val="20"/>
          <w:szCs w:val="20"/>
        </w:rPr>
        <w:t>“Spotify</w:t>
      </w:r>
      <w:r w:rsidRPr="0074114D">
        <w:rPr>
          <w:rFonts w:ascii="Times New Roman" w:eastAsia="Times New Roman" w:hAnsi="Times New Roman" w:cs="Times New Roman"/>
          <w:i/>
          <w:iCs/>
          <w:color w:val="000000"/>
          <w:sz w:val="20"/>
          <w:szCs w:val="20"/>
        </w:rPr>
        <w:t xml:space="preserve"> may from time to time change the price for the Paid Subscriptions… and will communicate any price changes to you in advance on reasonable notice… Price changes will take effect at</w:t>
      </w:r>
      <w:r w:rsidRPr="0074114D">
        <w:rPr>
          <w:rFonts w:ascii="Times New Roman" w:eastAsia="Times New Roman" w:hAnsi="Times New Roman" w:cs="Times New Roman"/>
          <w:i/>
          <w:iCs/>
          <w:color w:val="000000"/>
          <w:sz w:val="20"/>
          <w:szCs w:val="20"/>
        </w:rPr>
        <w:t xml:space="preserve"> the start of the next subscription period… by continuing to use the Spotify Service after the price change takes effect, you will have accepted the new price</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b/>
          <w:bCs/>
          <w:color w:val="000000"/>
          <w:sz w:val="20"/>
          <w:szCs w:val="20"/>
        </w:rPr>
        <w:t>Section I of Apple agreement for Media Services</w:t>
      </w:r>
      <w:r w:rsidRPr="0074114D">
        <w:rPr>
          <w:rFonts w:ascii="Times New Roman" w:eastAsia="Times New Roman" w:hAnsi="Times New Roman" w:cs="Times New Roman"/>
          <w:color w:val="000000"/>
          <w:sz w:val="20"/>
          <w:szCs w:val="20"/>
        </w:rPr>
        <w:t xml:space="preserve"> states this “</w:t>
      </w:r>
      <w:r w:rsidRPr="0074114D">
        <w:rPr>
          <w:rFonts w:ascii="Times New Roman" w:eastAsia="Times New Roman" w:hAnsi="Times New Roman" w:cs="Times New Roman"/>
          <w:i/>
          <w:iCs/>
          <w:color w:val="000000"/>
          <w:sz w:val="20"/>
          <w:szCs w:val="20"/>
        </w:rPr>
        <w:t>You will be notified if the price of a Subscription increases and, if required, your consent will be required to continue. You will be charged no more than twenty-four (24) hours prior to the start of the latest Subscription period</w:t>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b/>
          <w:bCs/>
          <w:color w:val="000000"/>
          <w:sz w:val="20"/>
          <w:szCs w:val="20"/>
        </w:rPr>
        <w:t>Section 2.7 of Netflix</w:t>
      </w:r>
      <w:r w:rsidRPr="0074114D">
        <w:rPr>
          <w:rFonts w:ascii="Times New Roman" w:eastAsia="Times New Roman" w:hAnsi="Times New Roman" w:cs="Times New Roman"/>
          <w:b/>
          <w:bCs/>
          <w:color w:val="000000"/>
          <w:sz w:val="20"/>
          <w:szCs w:val="20"/>
        </w:rPr>
        <w:t xml:space="preserve"> Nigeria’s Term of Use</w:t>
      </w:r>
      <w:r w:rsidRPr="0074114D">
        <w:rPr>
          <w:rFonts w:ascii="Times New Roman" w:eastAsia="Times New Roman" w:hAnsi="Times New Roman" w:cs="Times New Roman"/>
          <w:color w:val="000000"/>
          <w:sz w:val="20"/>
          <w:szCs w:val="20"/>
        </w:rPr>
        <w:t xml:space="preserve"> states “</w:t>
      </w:r>
      <w:r w:rsidRPr="0074114D">
        <w:rPr>
          <w:rFonts w:ascii="Times New Roman" w:eastAsia="Times New Roman" w:hAnsi="Times New Roman" w:cs="Times New Roman"/>
          <w:i/>
          <w:iCs/>
          <w:color w:val="000000"/>
          <w:sz w:val="20"/>
          <w:szCs w:val="20"/>
        </w:rPr>
        <w:t>We may change our subscription plans and the price of our service from time to time. We will notify you at least one month before any price changes or changes to your subscription plan will become effective. If you do not wis</w:t>
      </w:r>
      <w:r w:rsidRPr="0074114D">
        <w:rPr>
          <w:rFonts w:ascii="Times New Roman" w:eastAsia="Times New Roman" w:hAnsi="Times New Roman" w:cs="Times New Roman"/>
          <w:i/>
          <w:iCs/>
          <w:color w:val="000000"/>
          <w:sz w:val="20"/>
          <w:szCs w:val="20"/>
        </w:rPr>
        <w:t>h to accept the price change or change to your subscription plan, you can cancel your subscription before the change takes effect</w:t>
      </w:r>
      <w:r w:rsidRPr="0074114D">
        <w:rPr>
          <w:rFonts w:ascii="Times New Roman" w:eastAsia="Times New Roman" w:hAnsi="Times New Roman" w:cs="Times New Roman"/>
          <w:color w:val="000000"/>
          <w:sz w:val="20"/>
          <w:szCs w:val="20"/>
        </w:rPr>
        <w:t>.”</w:t>
      </w:r>
    </w:p>
  </w:footnote>
  <w:footnote w:id="27">
    <w:p w14:paraId="00000079"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EU Directive 93/13/EEC Annex 1, points 1(j); DSPs cannot remedy a lack of transparency by notifying consumers of price adj</w:t>
      </w:r>
      <w:r w:rsidRPr="0074114D">
        <w:rPr>
          <w:rFonts w:ascii="Times New Roman" w:eastAsia="Times New Roman" w:hAnsi="Times New Roman" w:cs="Times New Roman"/>
          <w:color w:val="000000"/>
          <w:sz w:val="20"/>
          <w:szCs w:val="20"/>
        </w:rPr>
        <w:t xml:space="preserve">ustments after a contract is signed. Giving advance warning for the price increase and highlighting the right to terminate is insufficient because the consumer is already legally bound. To balance a </w:t>
      </w:r>
      <w:r w:rsidRPr="0074114D">
        <w:rPr>
          <w:rFonts w:ascii="Times New Roman" w:eastAsia="Times New Roman" w:hAnsi="Times New Roman" w:cs="Times New Roman"/>
          <w:sz w:val="20"/>
          <w:szCs w:val="20"/>
        </w:rPr>
        <w:t>traders</w:t>
      </w:r>
      <w:r w:rsidRPr="0074114D">
        <w:rPr>
          <w:rFonts w:ascii="Times New Roman" w:eastAsia="Times New Roman" w:hAnsi="Times New Roman" w:cs="Times New Roman"/>
          <w:color w:val="000000"/>
          <w:sz w:val="20"/>
          <w:szCs w:val="20"/>
        </w:rPr>
        <w:t xml:space="preserve"> need to adapt to changing circumstances with cons</w:t>
      </w:r>
      <w:r w:rsidRPr="0074114D">
        <w:rPr>
          <w:rFonts w:ascii="Times New Roman" w:eastAsia="Times New Roman" w:hAnsi="Times New Roman" w:cs="Times New Roman"/>
          <w:color w:val="000000"/>
          <w:sz w:val="20"/>
          <w:szCs w:val="20"/>
        </w:rPr>
        <w:t xml:space="preserve">umer protection, the DSP must clearly disclose the conditions ... for any price variations before the contract is </w:t>
      </w:r>
      <w:proofErr w:type="spellStart"/>
      <w:r w:rsidRPr="0074114D">
        <w:rPr>
          <w:rFonts w:ascii="Times New Roman" w:eastAsia="Times New Roman" w:hAnsi="Times New Roman" w:cs="Times New Roman"/>
          <w:color w:val="000000"/>
          <w:sz w:val="20"/>
          <w:szCs w:val="20"/>
        </w:rPr>
        <w:t>finalised</w:t>
      </w:r>
      <w:proofErr w:type="spellEnd"/>
      <w:r w:rsidRPr="0074114D">
        <w:rPr>
          <w:rFonts w:ascii="Times New Roman" w:eastAsia="Times New Roman" w:hAnsi="Times New Roman" w:cs="Times New Roman"/>
          <w:color w:val="000000"/>
          <w:sz w:val="20"/>
          <w:szCs w:val="20"/>
        </w:rPr>
        <w:t xml:space="preserve">.-See P </w:t>
      </w:r>
      <w:proofErr w:type="spellStart"/>
      <w:r w:rsidRPr="0074114D">
        <w:rPr>
          <w:rFonts w:ascii="Times New Roman" w:eastAsia="Times New Roman" w:hAnsi="Times New Roman" w:cs="Times New Roman"/>
          <w:color w:val="000000"/>
          <w:sz w:val="20"/>
          <w:szCs w:val="20"/>
        </w:rPr>
        <w:t>Rott</w:t>
      </w:r>
      <w:proofErr w:type="spellEnd"/>
      <w:r w:rsidRPr="0074114D">
        <w:rPr>
          <w:rFonts w:ascii="Times New Roman" w:eastAsia="Times New Roman" w:hAnsi="Times New Roman" w:cs="Times New Roman"/>
          <w:color w:val="000000"/>
          <w:sz w:val="20"/>
          <w:szCs w:val="20"/>
        </w:rPr>
        <w:t xml:space="preserve">, ‘The Adjustment of Long-Term Supply Contracts: Experience from German Gas Price Case Law’ (2013) 21 </w:t>
      </w:r>
      <w:r w:rsidRPr="0074114D">
        <w:rPr>
          <w:rFonts w:ascii="Times New Roman" w:eastAsia="Times New Roman" w:hAnsi="Times New Roman" w:cs="Times New Roman"/>
          <w:i/>
          <w:iCs/>
          <w:color w:val="000000"/>
          <w:sz w:val="20"/>
          <w:szCs w:val="20"/>
        </w:rPr>
        <w:t xml:space="preserve">European Review of </w:t>
      </w:r>
      <w:r w:rsidRPr="0074114D">
        <w:rPr>
          <w:rFonts w:ascii="Times New Roman" w:eastAsia="Times New Roman" w:hAnsi="Times New Roman" w:cs="Times New Roman"/>
          <w:i/>
          <w:iCs/>
          <w:color w:val="000000"/>
          <w:sz w:val="20"/>
          <w:szCs w:val="20"/>
        </w:rPr>
        <w:t>Private Law</w:t>
      </w:r>
      <w:r w:rsidRPr="0074114D">
        <w:rPr>
          <w:rFonts w:ascii="Times New Roman" w:eastAsia="Times New Roman" w:hAnsi="Times New Roman" w:cs="Times New Roman"/>
          <w:color w:val="000000"/>
          <w:sz w:val="20"/>
          <w:szCs w:val="20"/>
        </w:rPr>
        <w:t xml:space="preserve">, 734–735; </w:t>
      </w:r>
      <w:r w:rsidRPr="0074114D">
        <w:rPr>
          <w:rFonts w:ascii="Times New Roman" w:eastAsia="Times New Roman" w:hAnsi="Times New Roman" w:cs="Times New Roman"/>
          <w:i/>
          <w:iCs/>
          <w:color w:val="000000"/>
          <w:sz w:val="20"/>
          <w:szCs w:val="20"/>
        </w:rPr>
        <w:t xml:space="preserve">RWE </w:t>
      </w:r>
      <w:proofErr w:type="spellStart"/>
      <w:r w:rsidRPr="0074114D">
        <w:rPr>
          <w:rFonts w:ascii="Times New Roman" w:eastAsia="Times New Roman" w:hAnsi="Times New Roman" w:cs="Times New Roman"/>
          <w:i/>
          <w:iCs/>
          <w:color w:val="000000"/>
          <w:sz w:val="20"/>
          <w:szCs w:val="20"/>
        </w:rPr>
        <w:t>Vertrieb</w:t>
      </w:r>
      <w:proofErr w:type="spellEnd"/>
      <w:r w:rsidRPr="0074114D">
        <w:rPr>
          <w:rFonts w:ascii="Times New Roman" w:eastAsia="Times New Roman" w:hAnsi="Times New Roman" w:cs="Times New Roman"/>
          <w:i/>
          <w:iCs/>
          <w:color w:val="000000"/>
          <w:sz w:val="20"/>
          <w:szCs w:val="20"/>
        </w:rPr>
        <w:t xml:space="preserve"> v </w:t>
      </w:r>
      <w:proofErr w:type="spellStart"/>
      <w:r w:rsidRPr="0074114D">
        <w:rPr>
          <w:rFonts w:ascii="Times New Roman" w:eastAsia="Times New Roman" w:hAnsi="Times New Roman" w:cs="Times New Roman"/>
          <w:i/>
          <w:iCs/>
          <w:color w:val="000000"/>
          <w:sz w:val="20"/>
          <w:szCs w:val="20"/>
        </w:rPr>
        <w:t>Verbraucherzentrale</w:t>
      </w:r>
      <w:proofErr w:type="spellEnd"/>
      <w:r w:rsidRPr="0074114D">
        <w:rPr>
          <w:rFonts w:ascii="Times New Roman" w:eastAsia="Times New Roman" w:hAnsi="Times New Roman" w:cs="Times New Roman"/>
          <w:color w:val="000000"/>
          <w:sz w:val="20"/>
          <w:szCs w:val="20"/>
        </w:rPr>
        <w:t xml:space="preserve"> (C-92/11, 21 March 2013, paras 41, 49–53); </w:t>
      </w:r>
      <w:proofErr w:type="spellStart"/>
      <w:r w:rsidRPr="0074114D">
        <w:rPr>
          <w:rFonts w:ascii="Times New Roman" w:eastAsia="Times New Roman" w:hAnsi="Times New Roman" w:cs="Times New Roman"/>
          <w:i/>
          <w:iCs/>
          <w:color w:val="000000"/>
          <w:sz w:val="20"/>
          <w:szCs w:val="20"/>
        </w:rPr>
        <w:t>Kásler</w:t>
      </w:r>
      <w:proofErr w:type="spellEnd"/>
      <w:r w:rsidRPr="0074114D">
        <w:rPr>
          <w:rFonts w:ascii="Times New Roman" w:eastAsia="Times New Roman" w:hAnsi="Times New Roman" w:cs="Times New Roman"/>
          <w:i/>
          <w:iCs/>
          <w:color w:val="000000"/>
          <w:sz w:val="20"/>
          <w:szCs w:val="20"/>
        </w:rPr>
        <w:t xml:space="preserve"> and </w:t>
      </w:r>
      <w:proofErr w:type="spellStart"/>
      <w:r w:rsidRPr="0074114D">
        <w:rPr>
          <w:rFonts w:ascii="Times New Roman" w:eastAsia="Times New Roman" w:hAnsi="Times New Roman" w:cs="Times New Roman"/>
          <w:i/>
          <w:iCs/>
          <w:color w:val="000000"/>
          <w:sz w:val="20"/>
          <w:szCs w:val="20"/>
        </w:rPr>
        <w:t>Káslerné</w:t>
      </w:r>
      <w:proofErr w:type="spellEnd"/>
      <w:r w:rsidRPr="0074114D">
        <w:rPr>
          <w:rFonts w:ascii="Times New Roman" w:eastAsia="Times New Roman" w:hAnsi="Times New Roman" w:cs="Times New Roman"/>
          <w:i/>
          <w:iCs/>
          <w:color w:val="000000"/>
          <w:sz w:val="20"/>
          <w:szCs w:val="20"/>
        </w:rPr>
        <w:t xml:space="preserve"> </w:t>
      </w:r>
      <w:proofErr w:type="spellStart"/>
      <w:r w:rsidRPr="0074114D">
        <w:rPr>
          <w:rFonts w:ascii="Times New Roman" w:eastAsia="Times New Roman" w:hAnsi="Times New Roman" w:cs="Times New Roman"/>
          <w:i/>
          <w:iCs/>
          <w:color w:val="000000"/>
          <w:sz w:val="20"/>
          <w:szCs w:val="20"/>
        </w:rPr>
        <w:t>Rábai</w:t>
      </w:r>
      <w:proofErr w:type="spellEnd"/>
      <w:r w:rsidRPr="0074114D">
        <w:rPr>
          <w:rFonts w:ascii="Times New Roman" w:eastAsia="Times New Roman" w:hAnsi="Times New Roman" w:cs="Times New Roman"/>
          <w:i/>
          <w:iCs/>
          <w:color w:val="000000"/>
          <w:sz w:val="20"/>
          <w:szCs w:val="20"/>
        </w:rPr>
        <w:t xml:space="preserve"> v OTP </w:t>
      </w:r>
      <w:proofErr w:type="spellStart"/>
      <w:r w:rsidRPr="0074114D">
        <w:rPr>
          <w:rFonts w:ascii="Times New Roman" w:eastAsia="Times New Roman" w:hAnsi="Times New Roman" w:cs="Times New Roman"/>
          <w:i/>
          <w:iCs/>
          <w:color w:val="000000"/>
          <w:sz w:val="20"/>
          <w:szCs w:val="20"/>
        </w:rPr>
        <w:t>Jelzálogbank</w:t>
      </w:r>
      <w:proofErr w:type="spellEnd"/>
      <w:r w:rsidRPr="0074114D">
        <w:rPr>
          <w:rFonts w:ascii="Times New Roman" w:eastAsia="Times New Roman" w:hAnsi="Times New Roman" w:cs="Times New Roman"/>
          <w:color w:val="000000"/>
          <w:sz w:val="20"/>
          <w:szCs w:val="20"/>
        </w:rPr>
        <w:t xml:space="preserve"> (C-26/13, 30 April 2014, paras 39, 73–74)</w:t>
      </w:r>
    </w:p>
  </w:footnote>
  <w:footnote w:id="28">
    <w:p w14:paraId="0000007A"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sz w:val="20"/>
          <w:szCs w:val="20"/>
        </w:rPr>
        <w:t xml:space="preserve">This will be against the requirement of good faith principle. See also the decision of the Court in </w:t>
      </w:r>
      <w:proofErr w:type="spellStart"/>
      <w:r w:rsidRPr="0074114D">
        <w:rPr>
          <w:rFonts w:ascii="Times New Roman" w:eastAsia="Times New Roman" w:hAnsi="Times New Roman" w:cs="Times New Roman"/>
          <w:color w:val="000000"/>
          <w:sz w:val="20"/>
          <w:szCs w:val="20"/>
        </w:rPr>
        <w:t>Arbitro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Bancario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Finanziario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Collegio</w:t>
      </w:r>
      <w:proofErr w:type="spellEnd"/>
      <w:r w:rsidRPr="0074114D">
        <w:rPr>
          <w:rFonts w:ascii="Times New Roman" w:eastAsia="Times New Roman" w:hAnsi="Times New Roman" w:cs="Times New Roman"/>
          <w:color w:val="000000"/>
          <w:sz w:val="20"/>
          <w:szCs w:val="20"/>
        </w:rPr>
        <w:t xml:space="preserve"> di Milano) </w:t>
      </w:r>
      <w:proofErr w:type="spellStart"/>
      <w:r w:rsidRPr="0074114D">
        <w:rPr>
          <w:rFonts w:ascii="Times New Roman" w:eastAsia="Times New Roman" w:hAnsi="Times New Roman" w:cs="Times New Roman"/>
          <w:color w:val="000000"/>
          <w:sz w:val="20"/>
          <w:szCs w:val="20"/>
        </w:rPr>
        <w:t>Decisione</w:t>
      </w:r>
      <w:proofErr w:type="spellEnd"/>
      <w:r w:rsidRPr="0074114D">
        <w:rPr>
          <w:rFonts w:ascii="Times New Roman" w:eastAsia="Times New Roman" w:hAnsi="Times New Roman" w:cs="Times New Roman"/>
          <w:color w:val="000000"/>
          <w:sz w:val="20"/>
          <w:szCs w:val="20"/>
        </w:rPr>
        <w:t xml:space="preserve"> n 249/2010; </w:t>
      </w:r>
      <w:proofErr w:type="spellStart"/>
      <w:r w:rsidRPr="0074114D">
        <w:rPr>
          <w:rFonts w:ascii="Times New Roman" w:eastAsia="Times New Roman" w:hAnsi="Times New Roman" w:cs="Times New Roman"/>
          <w:color w:val="000000"/>
          <w:sz w:val="20"/>
          <w:szCs w:val="20"/>
        </w:rPr>
        <w:t>Arbitro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Bancario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Finanziario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Collegio</w:t>
      </w:r>
      <w:proofErr w:type="spellEnd"/>
      <w:r w:rsidRPr="0074114D">
        <w:rPr>
          <w:rFonts w:ascii="Times New Roman" w:eastAsia="Times New Roman" w:hAnsi="Times New Roman" w:cs="Times New Roman"/>
          <w:color w:val="000000"/>
          <w:sz w:val="20"/>
          <w:szCs w:val="20"/>
        </w:rPr>
        <w:t xml:space="preserve"> di </w:t>
      </w:r>
      <w:proofErr w:type="spellStart"/>
      <w:r w:rsidRPr="0074114D">
        <w:rPr>
          <w:rFonts w:ascii="Times New Roman" w:eastAsia="Times New Roman" w:hAnsi="Times New Roman" w:cs="Times New Roman"/>
          <w:color w:val="000000"/>
          <w:sz w:val="20"/>
          <w:szCs w:val="20"/>
        </w:rPr>
        <w:t>Coordinamento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Decisione</w:t>
      </w:r>
      <w:proofErr w:type="spellEnd"/>
      <w:r w:rsidRPr="0074114D">
        <w:rPr>
          <w:rFonts w:ascii="Times New Roman" w:eastAsia="Times New Roman" w:hAnsi="Times New Roman" w:cs="Times New Roman"/>
          <w:color w:val="000000"/>
          <w:sz w:val="20"/>
          <w:szCs w:val="20"/>
        </w:rPr>
        <w:t xml:space="preserve"> n 1889/2016; </w:t>
      </w:r>
      <w:proofErr w:type="spellStart"/>
      <w:r w:rsidRPr="0074114D">
        <w:rPr>
          <w:rFonts w:ascii="Times New Roman" w:eastAsia="Times New Roman" w:hAnsi="Times New Roman" w:cs="Times New Roman"/>
          <w:color w:val="000000"/>
          <w:sz w:val="20"/>
          <w:szCs w:val="20"/>
        </w:rPr>
        <w:t>Arbi</w:t>
      </w:r>
      <w:r w:rsidRPr="0074114D">
        <w:rPr>
          <w:rFonts w:ascii="Times New Roman" w:eastAsia="Times New Roman" w:hAnsi="Times New Roman" w:cs="Times New Roman"/>
          <w:color w:val="000000"/>
          <w:sz w:val="20"/>
          <w:szCs w:val="20"/>
        </w:rPr>
        <w:t>tro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Bancario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Finanziario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Collegio</w:t>
      </w:r>
      <w:proofErr w:type="spellEnd"/>
      <w:r w:rsidRPr="0074114D">
        <w:rPr>
          <w:rFonts w:ascii="Times New Roman" w:eastAsia="Times New Roman" w:hAnsi="Times New Roman" w:cs="Times New Roman"/>
          <w:color w:val="000000"/>
          <w:sz w:val="20"/>
          <w:szCs w:val="20"/>
        </w:rPr>
        <w:t xml:space="preserve"> di Roma) </w:t>
      </w:r>
      <w:proofErr w:type="spellStart"/>
      <w:r w:rsidRPr="0074114D">
        <w:rPr>
          <w:rFonts w:ascii="Times New Roman" w:eastAsia="Times New Roman" w:hAnsi="Times New Roman" w:cs="Times New Roman"/>
          <w:color w:val="000000"/>
          <w:sz w:val="20"/>
          <w:szCs w:val="20"/>
        </w:rPr>
        <w:t>Decisione</w:t>
      </w:r>
      <w:proofErr w:type="spellEnd"/>
      <w:r w:rsidRPr="0074114D">
        <w:rPr>
          <w:rFonts w:ascii="Times New Roman" w:eastAsia="Times New Roman" w:hAnsi="Times New Roman" w:cs="Times New Roman"/>
          <w:color w:val="000000"/>
          <w:sz w:val="20"/>
          <w:szCs w:val="20"/>
        </w:rPr>
        <w:t xml:space="preserve"> n 1722/2015.</w:t>
      </w:r>
    </w:p>
  </w:footnote>
  <w:footnote w:id="29">
    <w:p w14:paraId="00000090" w14:textId="1D1B9F32" w:rsidR="00AF5996" w:rsidRPr="0074114D" w:rsidRDefault="00083456">
      <w:pPr>
        <w:jc w:val="both"/>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EU Directive 93/13/EEC, art 5(</w:t>
      </w:r>
      <w:r w:rsidRPr="0074114D">
        <w:rPr>
          <w:rFonts w:ascii="Times New Roman" w:eastAsia="Times New Roman" w:hAnsi="Times New Roman" w:cs="Times New Roman"/>
          <w:sz w:val="20"/>
          <w:szCs w:val="20"/>
        </w:rPr>
        <w:t>1); Annex I, para 1(</w:t>
      </w:r>
      <w:proofErr w:type="spellStart"/>
      <w:r w:rsidRPr="0074114D">
        <w:rPr>
          <w:rFonts w:ascii="Times New Roman" w:eastAsia="Times New Roman" w:hAnsi="Times New Roman" w:cs="Times New Roman"/>
          <w:sz w:val="20"/>
          <w:szCs w:val="20"/>
        </w:rPr>
        <w:t>i</w:t>
      </w:r>
      <w:proofErr w:type="spellEnd"/>
      <w:r w:rsidRPr="0074114D">
        <w:rPr>
          <w:rFonts w:ascii="Times New Roman" w:eastAsia="Times New Roman" w:hAnsi="Times New Roman" w:cs="Times New Roman"/>
          <w:sz w:val="20"/>
          <w:szCs w:val="20"/>
        </w:rPr>
        <w:t xml:space="preserve">); C </w:t>
      </w:r>
      <w:proofErr w:type="spellStart"/>
      <w:r w:rsidRPr="0074114D">
        <w:rPr>
          <w:rFonts w:ascii="Times New Roman" w:eastAsia="Times New Roman" w:hAnsi="Times New Roman" w:cs="Times New Roman"/>
          <w:sz w:val="20"/>
          <w:szCs w:val="20"/>
        </w:rPr>
        <w:t>Girot</w:t>
      </w:r>
      <w:proofErr w:type="spellEnd"/>
      <w:r w:rsidRPr="0074114D">
        <w:rPr>
          <w:rFonts w:ascii="Times New Roman" w:eastAsia="Times New Roman" w:hAnsi="Times New Roman" w:cs="Times New Roman"/>
          <w:sz w:val="20"/>
          <w:szCs w:val="20"/>
        </w:rPr>
        <w:t xml:space="preserve">, </w:t>
      </w:r>
      <w:r w:rsidRPr="0074114D">
        <w:rPr>
          <w:rFonts w:ascii="Times New Roman" w:eastAsia="Times New Roman" w:hAnsi="Times New Roman" w:cs="Times New Roman"/>
          <w:i/>
          <w:iCs/>
          <w:sz w:val="20"/>
          <w:szCs w:val="20"/>
        </w:rPr>
        <w:t xml:space="preserve">User Protection in IT Contracts: A Comparative Study of the Protection of the User </w:t>
      </w:r>
      <w:r w:rsidR="0074114D" w:rsidRPr="0074114D">
        <w:rPr>
          <w:rFonts w:ascii="Times New Roman" w:eastAsia="Times New Roman" w:hAnsi="Times New Roman" w:cs="Times New Roman"/>
          <w:i/>
          <w:iCs/>
          <w:sz w:val="20"/>
          <w:szCs w:val="20"/>
        </w:rPr>
        <w:t>against</w:t>
      </w:r>
      <w:r w:rsidRPr="0074114D">
        <w:rPr>
          <w:rFonts w:ascii="Times New Roman" w:eastAsia="Times New Roman" w:hAnsi="Times New Roman" w:cs="Times New Roman"/>
          <w:i/>
          <w:iCs/>
          <w:sz w:val="20"/>
          <w:szCs w:val="20"/>
        </w:rPr>
        <w:t xml:space="preserve"> Defective Performance in Information Technology</w:t>
      </w:r>
      <w:r w:rsidRPr="0074114D">
        <w:rPr>
          <w:rFonts w:ascii="Times New Roman" w:eastAsia="Times New Roman" w:hAnsi="Times New Roman" w:cs="Times New Roman"/>
          <w:sz w:val="20"/>
          <w:szCs w:val="20"/>
        </w:rPr>
        <w:t xml:space="preserve"> (Kluwer Law International, 2001) 318–319, 322.</w:t>
      </w:r>
    </w:p>
  </w:footnote>
  <w:footnote w:id="30">
    <w:p w14:paraId="0000007B"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w:t>
      </w:r>
      <w:r w:rsidRPr="0074114D">
        <w:rPr>
          <w:rFonts w:ascii="Times New Roman" w:eastAsia="Times New Roman" w:hAnsi="Times New Roman" w:cs="Times New Roman"/>
          <w:sz w:val="20"/>
          <w:szCs w:val="20"/>
        </w:rPr>
        <w:t xml:space="preserve">This will be against the requirement of good faith principle. For a better understanding of proportionality and price change, see also the decision of the Court in </w:t>
      </w:r>
      <w:proofErr w:type="spellStart"/>
      <w:r w:rsidRPr="0074114D">
        <w:rPr>
          <w:rFonts w:ascii="Times New Roman" w:eastAsia="Times New Roman" w:hAnsi="Times New Roman" w:cs="Times New Roman"/>
          <w:color w:val="000000"/>
          <w:sz w:val="20"/>
          <w:szCs w:val="20"/>
        </w:rPr>
        <w:t>Arbitro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Bancario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Finanz</w:t>
      </w:r>
      <w:r w:rsidRPr="0074114D">
        <w:rPr>
          <w:rFonts w:ascii="Times New Roman" w:eastAsia="Times New Roman" w:hAnsi="Times New Roman" w:cs="Times New Roman"/>
          <w:color w:val="000000"/>
          <w:sz w:val="20"/>
          <w:szCs w:val="20"/>
        </w:rPr>
        <w:t>iario</w:t>
      </w:r>
      <w:proofErr w:type="spellEnd"/>
      <w:r w:rsidRPr="0074114D">
        <w:rPr>
          <w:rFonts w:ascii="Times New Roman" w:eastAsia="Times New Roman" w:hAnsi="Times New Roman" w:cs="Times New Roman"/>
          <w:color w:val="000000"/>
          <w:sz w:val="20"/>
          <w:szCs w:val="20"/>
        </w:rPr>
        <w:t xml:space="preserve"> (</w:t>
      </w:r>
      <w:proofErr w:type="spellStart"/>
      <w:r w:rsidRPr="0074114D">
        <w:rPr>
          <w:rFonts w:ascii="Times New Roman" w:eastAsia="Times New Roman" w:hAnsi="Times New Roman" w:cs="Times New Roman"/>
          <w:color w:val="000000"/>
          <w:sz w:val="20"/>
          <w:szCs w:val="20"/>
        </w:rPr>
        <w:t>Collegio</w:t>
      </w:r>
      <w:proofErr w:type="spellEnd"/>
      <w:r w:rsidRPr="0074114D">
        <w:rPr>
          <w:rFonts w:ascii="Times New Roman" w:eastAsia="Times New Roman" w:hAnsi="Times New Roman" w:cs="Times New Roman"/>
          <w:color w:val="000000"/>
          <w:sz w:val="20"/>
          <w:szCs w:val="20"/>
        </w:rPr>
        <w:t xml:space="preserve"> di Torino) </w:t>
      </w:r>
      <w:proofErr w:type="spellStart"/>
      <w:r w:rsidRPr="0074114D">
        <w:rPr>
          <w:rFonts w:ascii="Times New Roman" w:eastAsia="Times New Roman" w:hAnsi="Times New Roman" w:cs="Times New Roman"/>
          <w:color w:val="000000"/>
          <w:sz w:val="20"/>
          <w:szCs w:val="20"/>
        </w:rPr>
        <w:t>Decisione</w:t>
      </w:r>
      <w:proofErr w:type="spellEnd"/>
      <w:r w:rsidRPr="0074114D">
        <w:rPr>
          <w:rFonts w:ascii="Times New Roman" w:eastAsia="Times New Roman" w:hAnsi="Times New Roman" w:cs="Times New Roman"/>
          <w:color w:val="000000"/>
          <w:sz w:val="20"/>
          <w:szCs w:val="20"/>
        </w:rPr>
        <w:t xml:space="preserve"> n 4845/2017 (5 May 2017) 8 (citing Banca </w:t>
      </w:r>
      <w:proofErr w:type="spellStart"/>
      <w:r w:rsidRPr="0074114D">
        <w:rPr>
          <w:rFonts w:ascii="Times New Roman" w:eastAsia="Times New Roman" w:hAnsi="Times New Roman" w:cs="Times New Roman"/>
          <w:color w:val="000000"/>
          <w:sz w:val="20"/>
          <w:szCs w:val="20"/>
        </w:rPr>
        <w:t>d’Italia</w:t>
      </w:r>
      <w:proofErr w:type="spellEnd"/>
      <w:r w:rsidRPr="0074114D">
        <w:rPr>
          <w:rFonts w:ascii="Times New Roman" w:eastAsia="Times New Roman" w:hAnsi="Times New Roman" w:cs="Times New Roman"/>
          <w:color w:val="000000"/>
          <w:sz w:val="20"/>
          <w:szCs w:val="20"/>
        </w:rPr>
        <w:t xml:space="preserve"> Note n 412631/2017 on the requirement that unilateral variations must target only the incremental cost portion and maintain a direct correlation to the specific underlyi</w:t>
      </w:r>
      <w:r w:rsidRPr="0074114D">
        <w:rPr>
          <w:rFonts w:ascii="Times New Roman" w:eastAsia="Times New Roman" w:hAnsi="Times New Roman" w:cs="Times New Roman"/>
          <w:color w:val="000000"/>
          <w:sz w:val="20"/>
          <w:szCs w:val="20"/>
        </w:rPr>
        <w:t>ng cost driver to preserve the contractual balance), 10.</w:t>
      </w:r>
    </w:p>
  </w:footnote>
  <w:footnote w:id="31">
    <w:p w14:paraId="0000007C"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EU Directive 93/13/EEC, art 3(2) explains “</w:t>
      </w:r>
      <w:r w:rsidRPr="0074114D">
        <w:rPr>
          <w:rFonts w:ascii="Times New Roman" w:eastAsia="Times New Roman" w:hAnsi="Times New Roman" w:cs="Times New Roman"/>
          <w:i/>
          <w:iCs/>
          <w:color w:val="000000"/>
          <w:sz w:val="20"/>
          <w:szCs w:val="20"/>
        </w:rPr>
        <w:t>A term shall always be regarded as not individually negotiated where it has been drafted in advance and the consumer has therefore not been able to influe</w:t>
      </w:r>
      <w:r w:rsidRPr="0074114D">
        <w:rPr>
          <w:rFonts w:ascii="Times New Roman" w:eastAsia="Times New Roman" w:hAnsi="Times New Roman" w:cs="Times New Roman"/>
          <w:i/>
          <w:iCs/>
          <w:color w:val="000000"/>
          <w:sz w:val="20"/>
          <w:szCs w:val="20"/>
        </w:rPr>
        <w:t>nce the substance of the term, particularly in the context of a pre-formulated standard contract</w:t>
      </w:r>
      <w:r w:rsidRPr="0074114D">
        <w:rPr>
          <w:rFonts w:ascii="Times New Roman" w:eastAsia="Times New Roman" w:hAnsi="Times New Roman" w:cs="Times New Roman"/>
          <w:color w:val="000000"/>
          <w:sz w:val="20"/>
          <w:szCs w:val="20"/>
        </w:rPr>
        <w:t>.”</w:t>
      </w:r>
    </w:p>
  </w:footnote>
  <w:footnote w:id="32">
    <w:p w14:paraId="0000008E" w14:textId="77777777" w:rsidR="00AF5996" w:rsidRPr="0074114D" w:rsidRDefault="00083456">
      <w:pPr>
        <w:rPr>
          <w:rFonts w:ascii="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hAnsi="Times New Roman" w:cs="Times New Roman"/>
          <w:sz w:val="20"/>
          <w:szCs w:val="20"/>
        </w:rPr>
        <w:t xml:space="preserve"> </w:t>
      </w:r>
      <w:r w:rsidRPr="0074114D">
        <w:rPr>
          <w:rFonts w:ascii="Times New Roman" w:eastAsia="Times New Roman" w:hAnsi="Times New Roman" w:cs="Times New Roman"/>
          <w:sz w:val="20"/>
          <w:szCs w:val="20"/>
        </w:rPr>
        <w:t>EU Directive 93/13/EEC, art 3(1)</w:t>
      </w:r>
    </w:p>
  </w:footnote>
  <w:footnote w:id="33">
    <w:p w14:paraId="00000091"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Financial Conduct Authority, 'Fairn</w:t>
      </w:r>
      <w:r w:rsidRPr="0074114D">
        <w:rPr>
          <w:rFonts w:ascii="Times New Roman" w:eastAsia="Times New Roman" w:hAnsi="Times New Roman" w:cs="Times New Roman"/>
          <w:sz w:val="20"/>
          <w:szCs w:val="20"/>
        </w:rPr>
        <w:t>ess of variation terms in financial services consumer contracts under the Consumer Rights Act 2015' (</w:t>
      </w:r>
      <w:proofErr w:type="spellStart"/>
      <w:r w:rsidRPr="0074114D">
        <w:rPr>
          <w:rFonts w:ascii="Times New Roman" w:eastAsia="Times New Roman" w:hAnsi="Times New Roman" w:cs="Times New Roman"/>
          <w:sz w:val="20"/>
          <w:szCs w:val="20"/>
        </w:rPr>
        <w:t>Finalised</w:t>
      </w:r>
      <w:proofErr w:type="spellEnd"/>
      <w:r w:rsidRPr="0074114D">
        <w:rPr>
          <w:rFonts w:ascii="Times New Roman" w:eastAsia="Times New Roman" w:hAnsi="Times New Roman" w:cs="Times New Roman"/>
          <w:sz w:val="20"/>
          <w:szCs w:val="20"/>
        </w:rPr>
        <w:t xml:space="preserve"> Guidance FG18/7, 2018) para 42 &lt;</w:t>
      </w:r>
      <w:hyperlink r:id="rId11">
        <w:r w:rsidRPr="0074114D">
          <w:rPr>
            <w:rFonts w:ascii="Times New Roman" w:eastAsia="Times New Roman" w:hAnsi="Times New Roman" w:cs="Times New Roman"/>
            <w:color w:val="1155CC"/>
            <w:sz w:val="20"/>
            <w:szCs w:val="20"/>
            <w:u w:val="single"/>
          </w:rPr>
          <w:t>https://www.fca.org.uk/publi</w:t>
        </w:r>
        <w:r w:rsidRPr="0074114D">
          <w:rPr>
            <w:rFonts w:ascii="Times New Roman" w:eastAsia="Times New Roman" w:hAnsi="Times New Roman" w:cs="Times New Roman"/>
            <w:color w:val="1155CC"/>
            <w:sz w:val="20"/>
            <w:szCs w:val="20"/>
            <w:u w:val="single"/>
          </w:rPr>
          <w:t>cation/finalised-guidance/fg18-07.pdf</w:t>
        </w:r>
      </w:hyperlink>
      <w:r w:rsidRPr="0074114D">
        <w:rPr>
          <w:rFonts w:ascii="Times New Roman" w:eastAsia="Times New Roman" w:hAnsi="Times New Roman" w:cs="Times New Roman"/>
          <w:sz w:val="20"/>
          <w:szCs w:val="20"/>
        </w:rPr>
        <w:t xml:space="preserve">&gt; accessed 17 June, 2026. </w:t>
      </w:r>
    </w:p>
  </w:footnote>
  <w:footnote w:id="34">
    <w:p w14:paraId="0000008F" w14:textId="77777777" w:rsidR="00AF5996" w:rsidRPr="0074114D" w:rsidRDefault="00083456">
      <w:pPr>
        <w:rPr>
          <w:rFonts w:ascii="Times New Roman" w:eastAsia="Times New Roman" w:hAnsi="Times New Roman" w:cs="Times New Roman"/>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sz w:val="20"/>
          <w:szCs w:val="20"/>
        </w:rPr>
        <w:t xml:space="preserve"> </w:t>
      </w:r>
      <w:r w:rsidRPr="0074114D">
        <w:rPr>
          <w:rFonts w:ascii="Times New Roman" w:eastAsia="Times New Roman" w:hAnsi="Times New Roman" w:cs="Times New Roman"/>
          <w:sz w:val="20"/>
          <w:szCs w:val="20"/>
          <w:highlight w:val="white"/>
        </w:rPr>
        <w:t>Baliol (</w:t>
      </w:r>
      <w:proofErr w:type="spellStart"/>
      <w:r w:rsidRPr="0074114D">
        <w:rPr>
          <w:rFonts w:ascii="Times New Roman" w:eastAsia="Times New Roman" w:hAnsi="Times New Roman" w:cs="Times New Roman"/>
          <w:sz w:val="20"/>
          <w:szCs w:val="20"/>
          <w:highlight w:val="white"/>
        </w:rPr>
        <w:t>Nig</w:t>
      </w:r>
      <w:proofErr w:type="spellEnd"/>
      <w:r w:rsidRPr="0074114D">
        <w:rPr>
          <w:rFonts w:ascii="Times New Roman" w:eastAsia="Times New Roman" w:hAnsi="Times New Roman" w:cs="Times New Roman"/>
          <w:sz w:val="20"/>
          <w:szCs w:val="20"/>
          <w:highlight w:val="white"/>
        </w:rPr>
        <w:t xml:space="preserve">) Ltd v </w:t>
      </w:r>
      <w:proofErr w:type="spellStart"/>
      <w:r w:rsidRPr="0074114D">
        <w:rPr>
          <w:rFonts w:ascii="Times New Roman" w:eastAsia="Times New Roman" w:hAnsi="Times New Roman" w:cs="Times New Roman"/>
          <w:sz w:val="20"/>
          <w:szCs w:val="20"/>
          <w:highlight w:val="white"/>
        </w:rPr>
        <w:t>Navcon</w:t>
      </w:r>
      <w:proofErr w:type="spellEnd"/>
      <w:r w:rsidRPr="0074114D">
        <w:rPr>
          <w:rFonts w:ascii="Times New Roman" w:eastAsia="Times New Roman" w:hAnsi="Times New Roman" w:cs="Times New Roman"/>
          <w:sz w:val="20"/>
          <w:szCs w:val="20"/>
          <w:highlight w:val="white"/>
        </w:rPr>
        <w:t xml:space="preserve"> (</w:t>
      </w:r>
      <w:proofErr w:type="spellStart"/>
      <w:r w:rsidRPr="0074114D">
        <w:rPr>
          <w:rFonts w:ascii="Times New Roman" w:eastAsia="Times New Roman" w:hAnsi="Times New Roman" w:cs="Times New Roman"/>
          <w:sz w:val="20"/>
          <w:szCs w:val="20"/>
          <w:highlight w:val="white"/>
        </w:rPr>
        <w:t>Nig</w:t>
      </w:r>
      <w:proofErr w:type="spellEnd"/>
      <w:r w:rsidRPr="0074114D">
        <w:rPr>
          <w:rFonts w:ascii="Times New Roman" w:eastAsia="Times New Roman" w:hAnsi="Times New Roman" w:cs="Times New Roman"/>
          <w:sz w:val="20"/>
          <w:szCs w:val="20"/>
          <w:highlight w:val="white"/>
        </w:rPr>
        <w:t xml:space="preserve">) Ltd (2010) 16 NWLR (Pt. 1220) 619 (P. 630, paras. A-B); </w:t>
      </w:r>
      <w:proofErr w:type="spellStart"/>
      <w:r w:rsidRPr="0074114D">
        <w:rPr>
          <w:rFonts w:ascii="Times New Roman" w:eastAsia="Times New Roman" w:hAnsi="Times New Roman" w:cs="Times New Roman"/>
          <w:sz w:val="20"/>
          <w:szCs w:val="20"/>
          <w:highlight w:val="white"/>
        </w:rPr>
        <w:t>Makvid</w:t>
      </w:r>
      <w:proofErr w:type="spellEnd"/>
      <w:r w:rsidRPr="0074114D">
        <w:rPr>
          <w:rFonts w:ascii="Times New Roman" w:eastAsia="Times New Roman" w:hAnsi="Times New Roman" w:cs="Times New Roman"/>
          <w:sz w:val="20"/>
          <w:szCs w:val="20"/>
          <w:highlight w:val="white"/>
        </w:rPr>
        <w:t xml:space="preserve"> Technology Services Limited v </w:t>
      </w:r>
      <w:proofErr w:type="spellStart"/>
      <w:r w:rsidRPr="0074114D">
        <w:rPr>
          <w:rFonts w:ascii="Times New Roman" w:eastAsia="Times New Roman" w:hAnsi="Times New Roman" w:cs="Times New Roman"/>
          <w:sz w:val="20"/>
          <w:szCs w:val="20"/>
          <w:highlight w:val="white"/>
        </w:rPr>
        <w:t>Macgable</w:t>
      </w:r>
      <w:proofErr w:type="spellEnd"/>
      <w:r w:rsidRPr="0074114D">
        <w:rPr>
          <w:rFonts w:ascii="Times New Roman" w:eastAsia="Times New Roman" w:hAnsi="Times New Roman" w:cs="Times New Roman"/>
          <w:sz w:val="20"/>
          <w:szCs w:val="20"/>
          <w:highlight w:val="white"/>
        </w:rPr>
        <w:t xml:space="preserve"> Global Services Limited (2024) 3 NWLR (Pt. 1926) 477 (Pp. 511-512, paras. H-B; D-E; F-G) </w:t>
      </w:r>
    </w:p>
  </w:footnote>
  <w:footnote w:id="35">
    <w:p w14:paraId="0000007D"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Such as service modifications, regulatory compliance, technological upgrades, and security requirements</w:t>
      </w:r>
    </w:p>
  </w:footnote>
  <w:footnote w:id="36">
    <w:p w14:paraId="0000007E"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Federal Competition and Consumer Protection Act 2</w:t>
      </w:r>
      <w:r w:rsidRPr="0074114D">
        <w:rPr>
          <w:rFonts w:ascii="Times New Roman" w:eastAsia="Times New Roman" w:hAnsi="Times New Roman" w:cs="Times New Roman"/>
          <w:color w:val="000000"/>
          <w:sz w:val="20"/>
          <w:szCs w:val="20"/>
        </w:rPr>
        <w:t xml:space="preserve">018, s 1(b)-(c), 2(1), 3, 127, 129, 165.; </w:t>
      </w:r>
      <w:proofErr w:type="spellStart"/>
      <w:r w:rsidRPr="0074114D">
        <w:rPr>
          <w:rFonts w:ascii="Times New Roman" w:eastAsia="Times New Roman" w:hAnsi="Times New Roman" w:cs="Times New Roman"/>
          <w:color w:val="000000"/>
          <w:sz w:val="20"/>
          <w:szCs w:val="20"/>
        </w:rPr>
        <w:t>Niji</w:t>
      </w:r>
      <w:proofErr w:type="spellEnd"/>
      <w:r w:rsidRPr="0074114D">
        <w:rPr>
          <w:rFonts w:ascii="Times New Roman" w:eastAsia="Times New Roman" w:hAnsi="Times New Roman" w:cs="Times New Roman"/>
          <w:color w:val="000000"/>
          <w:sz w:val="20"/>
          <w:szCs w:val="20"/>
        </w:rPr>
        <w:t xml:space="preserve"> Oni &amp; Co, ‘A Review of the Federal Competition and Consumer Protection Act 2018’ (20 March 2019) &lt;</w:t>
      </w:r>
      <w:hyperlink r:id="rId12">
        <w:r w:rsidRPr="0074114D">
          <w:rPr>
            <w:rFonts w:ascii="Times New Roman" w:eastAsia="Times New Roman" w:hAnsi="Times New Roman" w:cs="Times New Roman"/>
            <w:color w:val="0000FF"/>
            <w:sz w:val="20"/>
            <w:szCs w:val="20"/>
            <w:u w:val="single"/>
          </w:rPr>
          <w:t>https://www.nijioni.com/2019/03/20/a-review-of-the-federal-competition-and-consumer-protection-act-2018/</w:t>
        </w:r>
      </w:hyperlink>
      <w:r w:rsidRPr="0074114D">
        <w:rPr>
          <w:rFonts w:ascii="Times New Roman" w:eastAsia="Times New Roman" w:hAnsi="Times New Roman" w:cs="Times New Roman"/>
          <w:color w:val="000000"/>
          <w:sz w:val="20"/>
          <w:szCs w:val="20"/>
        </w:rPr>
        <w:t xml:space="preserve">&gt; accessed 13 June 2026; </w:t>
      </w:r>
    </w:p>
  </w:footnote>
  <w:footnote w:id="37">
    <w:p w14:paraId="0000007F"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FC</w:t>
      </w:r>
      <w:r w:rsidRPr="0074114D">
        <w:rPr>
          <w:rFonts w:ascii="Times New Roman" w:eastAsia="Times New Roman" w:hAnsi="Times New Roman" w:cs="Times New Roman"/>
          <w:color w:val="000000"/>
          <w:sz w:val="20"/>
          <w:szCs w:val="20"/>
        </w:rPr>
        <w:t>CPA 2018 s 127(1)(a)&amp;(b)</w:t>
      </w:r>
    </w:p>
  </w:footnote>
  <w:footnote w:id="38">
    <w:p w14:paraId="00000080"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Ibid s 127(2)(a)&amp;(b)</w:t>
      </w:r>
    </w:p>
  </w:footnote>
  <w:footnote w:id="39">
    <w:p w14:paraId="00000081"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Ibid s 129(1)(a)&amp;(b)</w:t>
      </w:r>
    </w:p>
  </w:footnote>
  <w:footnote w:id="40">
    <w:p w14:paraId="00000082"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A.I. </w:t>
      </w:r>
      <w:proofErr w:type="spellStart"/>
      <w:r w:rsidRPr="0074114D">
        <w:rPr>
          <w:rFonts w:ascii="Times New Roman" w:eastAsia="Times New Roman" w:hAnsi="Times New Roman" w:cs="Times New Roman"/>
          <w:color w:val="000000"/>
          <w:sz w:val="20"/>
          <w:szCs w:val="20"/>
        </w:rPr>
        <w:t>Enang</w:t>
      </w:r>
      <w:proofErr w:type="spellEnd"/>
      <w:r w:rsidRPr="0074114D">
        <w:rPr>
          <w:rFonts w:ascii="Times New Roman" w:eastAsia="Times New Roman" w:hAnsi="Times New Roman" w:cs="Times New Roman"/>
          <w:color w:val="000000"/>
          <w:sz w:val="20"/>
          <w:szCs w:val="20"/>
        </w:rPr>
        <w:t>, ‘</w:t>
      </w:r>
      <w:proofErr w:type="spellStart"/>
      <w:r w:rsidRPr="0074114D">
        <w:rPr>
          <w:rFonts w:ascii="Times New Roman" w:eastAsia="Times New Roman" w:hAnsi="Times New Roman" w:cs="Times New Roman"/>
          <w:color w:val="000000"/>
          <w:sz w:val="20"/>
          <w:szCs w:val="20"/>
        </w:rPr>
        <w:t>Analysing</w:t>
      </w:r>
      <w:proofErr w:type="spellEnd"/>
      <w:r w:rsidRPr="0074114D">
        <w:rPr>
          <w:rFonts w:ascii="Times New Roman" w:eastAsia="Times New Roman" w:hAnsi="Times New Roman" w:cs="Times New Roman"/>
          <w:color w:val="000000"/>
          <w:sz w:val="20"/>
          <w:szCs w:val="20"/>
        </w:rPr>
        <w:t xml:space="preserve"> the Effectiveness of the Federal Competition and Consumer Protection Act 2018 in the Protection of Consumers in Electronic Commerce’ (2025) 8(1) </w:t>
      </w:r>
      <w:r w:rsidRPr="0074114D">
        <w:rPr>
          <w:rFonts w:ascii="Times New Roman" w:eastAsia="Times New Roman" w:hAnsi="Times New Roman" w:cs="Times New Roman"/>
          <w:i/>
          <w:iCs/>
          <w:color w:val="000000"/>
          <w:sz w:val="20"/>
          <w:szCs w:val="20"/>
        </w:rPr>
        <w:t>Redeemer’s Univ</w:t>
      </w:r>
      <w:r w:rsidRPr="0074114D">
        <w:rPr>
          <w:rFonts w:ascii="Times New Roman" w:eastAsia="Times New Roman" w:hAnsi="Times New Roman" w:cs="Times New Roman"/>
          <w:i/>
          <w:iCs/>
          <w:color w:val="000000"/>
          <w:sz w:val="20"/>
          <w:szCs w:val="20"/>
        </w:rPr>
        <w:t xml:space="preserve">ersity Nigeria Law Journal </w:t>
      </w:r>
      <w:r w:rsidRPr="0074114D">
        <w:rPr>
          <w:rFonts w:ascii="Times New Roman" w:eastAsia="Times New Roman" w:hAnsi="Times New Roman" w:cs="Times New Roman"/>
          <w:color w:val="000000"/>
          <w:sz w:val="20"/>
          <w:szCs w:val="20"/>
        </w:rPr>
        <w:t xml:space="preserve">126-127;  N. </w:t>
      </w:r>
      <w:proofErr w:type="spellStart"/>
      <w:r w:rsidRPr="0074114D">
        <w:rPr>
          <w:rFonts w:ascii="Times New Roman" w:eastAsia="Times New Roman" w:hAnsi="Times New Roman" w:cs="Times New Roman"/>
          <w:color w:val="000000"/>
          <w:sz w:val="20"/>
          <w:szCs w:val="20"/>
        </w:rPr>
        <w:t>Ezechukwu-Anekwe</w:t>
      </w:r>
      <w:proofErr w:type="spellEnd"/>
      <w:r w:rsidRPr="0074114D">
        <w:rPr>
          <w:rFonts w:ascii="Times New Roman" w:eastAsia="Times New Roman" w:hAnsi="Times New Roman" w:cs="Times New Roman"/>
          <w:color w:val="000000"/>
          <w:sz w:val="20"/>
          <w:szCs w:val="20"/>
        </w:rPr>
        <w:t>, ‘Assessing the Statutory Regulation of Unfair Contract Terms under the Nigerian Federal Competition and Consumer Protection Act’ (</w:t>
      </w:r>
      <w:r w:rsidRPr="0074114D">
        <w:rPr>
          <w:rFonts w:ascii="Times New Roman" w:eastAsia="Times New Roman" w:hAnsi="Times New Roman" w:cs="Times New Roman"/>
          <w:i/>
          <w:iCs/>
          <w:color w:val="000000"/>
          <w:sz w:val="20"/>
          <w:szCs w:val="20"/>
        </w:rPr>
        <w:t>CLRNN / ACLRH</w:t>
      </w:r>
      <w:r w:rsidRPr="0074114D">
        <w:rPr>
          <w:rFonts w:ascii="Times New Roman" w:eastAsia="Times New Roman" w:hAnsi="Times New Roman" w:cs="Times New Roman"/>
          <w:color w:val="000000"/>
          <w:sz w:val="20"/>
          <w:szCs w:val="20"/>
        </w:rPr>
        <w:t>, 26 November 2021) &lt;</w:t>
      </w:r>
      <w:hyperlink r:id="rId13">
        <w:r w:rsidRPr="0074114D">
          <w:rPr>
            <w:rFonts w:ascii="Times New Roman" w:eastAsia="Times New Roman" w:hAnsi="Times New Roman" w:cs="Times New Roman"/>
            <w:color w:val="0000FF"/>
            <w:sz w:val="20"/>
            <w:szCs w:val="20"/>
            <w:u w:val="single"/>
          </w:rPr>
          <w:t>https://www.clrnn.net/2021/11/26/assessing-the-statutory-regulation-of-unfair-contract-terms-under-the-nigeria</w:t>
        </w:r>
        <w:r w:rsidRPr="0074114D">
          <w:rPr>
            <w:rFonts w:ascii="Times New Roman" w:eastAsia="Times New Roman" w:hAnsi="Times New Roman" w:cs="Times New Roman"/>
            <w:color w:val="0000FF"/>
            <w:sz w:val="20"/>
            <w:szCs w:val="20"/>
            <w:u w:val="single"/>
          </w:rPr>
          <w:t>n-federal-competition-and-consumer-protection-act/</w:t>
        </w:r>
      </w:hyperlink>
      <w:r w:rsidRPr="0074114D">
        <w:rPr>
          <w:rFonts w:ascii="Times New Roman" w:eastAsia="Times New Roman" w:hAnsi="Times New Roman" w:cs="Times New Roman"/>
          <w:color w:val="000000"/>
          <w:sz w:val="20"/>
          <w:szCs w:val="20"/>
        </w:rPr>
        <w:t>&gt; accessed 13 June 2026.</w:t>
      </w:r>
    </w:p>
  </w:footnote>
  <w:footnote w:id="41">
    <w:p w14:paraId="00000083"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T. </w:t>
      </w:r>
      <w:proofErr w:type="spellStart"/>
      <w:r w:rsidRPr="0074114D">
        <w:rPr>
          <w:rFonts w:ascii="Times New Roman" w:eastAsia="Times New Roman" w:hAnsi="Times New Roman" w:cs="Times New Roman"/>
          <w:color w:val="000000"/>
          <w:sz w:val="20"/>
          <w:szCs w:val="20"/>
        </w:rPr>
        <w:t>Jaiyeola</w:t>
      </w:r>
      <w:proofErr w:type="spellEnd"/>
      <w:r w:rsidRPr="0074114D">
        <w:rPr>
          <w:rFonts w:ascii="Times New Roman" w:eastAsia="Times New Roman" w:hAnsi="Times New Roman" w:cs="Times New Roman"/>
          <w:color w:val="000000"/>
          <w:sz w:val="20"/>
          <w:szCs w:val="20"/>
        </w:rPr>
        <w:t xml:space="preserve">, ‘Netflix raises subscription fee by 21% to ₦8,500 in Nigeria’ </w:t>
      </w:r>
      <w:proofErr w:type="spellStart"/>
      <w:r w:rsidRPr="0074114D">
        <w:rPr>
          <w:rFonts w:ascii="Times New Roman" w:eastAsia="Times New Roman" w:hAnsi="Times New Roman" w:cs="Times New Roman"/>
          <w:i/>
          <w:iCs/>
          <w:color w:val="000000"/>
          <w:sz w:val="20"/>
          <w:szCs w:val="20"/>
        </w:rPr>
        <w:t>BusinessDay</w:t>
      </w:r>
      <w:proofErr w:type="spellEnd"/>
      <w:r w:rsidRPr="0074114D">
        <w:rPr>
          <w:rFonts w:ascii="Times New Roman" w:eastAsia="Times New Roman" w:hAnsi="Times New Roman" w:cs="Times New Roman"/>
          <w:color w:val="000000"/>
          <w:sz w:val="20"/>
          <w:szCs w:val="20"/>
        </w:rPr>
        <w:t xml:space="preserve"> (4 June 2025) &lt;</w:t>
      </w:r>
      <w:hyperlink r:id="rId14">
        <w:r w:rsidRPr="0074114D">
          <w:rPr>
            <w:rFonts w:ascii="Times New Roman" w:eastAsia="Times New Roman" w:hAnsi="Times New Roman" w:cs="Times New Roman"/>
            <w:color w:val="0000FF"/>
            <w:sz w:val="20"/>
            <w:szCs w:val="20"/>
            <w:u w:val="single"/>
          </w:rPr>
          <w:t>https://businessday.ng/technology/article/netflix-raises-subscription-fee-by-21-to-n8500-in-nigeria/</w:t>
        </w:r>
      </w:hyperlink>
      <w:r w:rsidRPr="0074114D">
        <w:rPr>
          <w:rFonts w:ascii="Times New Roman" w:eastAsia="Times New Roman" w:hAnsi="Times New Roman" w:cs="Times New Roman"/>
          <w:color w:val="000000"/>
          <w:sz w:val="20"/>
          <w:szCs w:val="20"/>
        </w:rPr>
        <w:t>&gt; accessed 13 June 2026.</w:t>
      </w:r>
    </w:p>
  </w:footnote>
  <w:footnote w:id="42">
    <w:p w14:paraId="00000084"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T. </w:t>
      </w:r>
      <w:proofErr w:type="spellStart"/>
      <w:r w:rsidRPr="0074114D">
        <w:rPr>
          <w:rFonts w:ascii="Times New Roman" w:eastAsia="Times New Roman" w:hAnsi="Times New Roman" w:cs="Times New Roman"/>
          <w:color w:val="000000"/>
          <w:sz w:val="20"/>
          <w:szCs w:val="20"/>
        </w:rPr>
        <w:t>Jaiyeola</w:t>
      </w:r>
      <w:proofErr w:type="spellEnd"/>
      <w:r w:rsidRPr="0074114D">
        <w:rPr>
          <w:rFonts w:ascii="Times New Roman" w:eastAsia="Times New Roman" w:hAnsi="Times New Roman" w:cs="Times New Roman"/>
          <w:color w:val="000000"/>
          <w:sz w:val="20"/>
          <w:szCs w:val="20"/>
        </w:rPr>
        <w:t>, ‘Spotify hikes fee to N1</w:t>
      </w:r>
      <w:proofErr w:type="gramStart"/>
      <w:r w:rsidRPr="0074114D">
        <w:rPr>
          <w:rFonts w:ascii="Times New Roman" w:eastAsia="Times New Roman" w:hAnsi="Times New Roman" w:cs="Times New Roman"/>
          <w:color w:val="000000"/>
          <w:sz w:val="20"/>
          <w:szCs w:val="20"/>
        </w:rPr>
        <w:t>,300</w:t>
      </w:r>
      <w:proofErr w:type="gramEnd"/>
      <w:r w:rsidRPr="0074114D">
        <w:rPr>
          <w:rFonts w:ascii="Times New Roman" w:eastAsia="Times New Roman" w:hAnsi="Times New Roman" w:cs="Times New Roman"/>
          <w:color w:val="000000"/>
          <w:sz w:val="20"/>
          <w:szCs w:val="20"/>
        </w:rPr>
        <w:t xml:space="preserve">/month on weaker naira’ </w:t>
      </w:r>
      <w:proofErr w:type="spellStart"/>
      <w:r w:rsidRPr="0074114D">
        <w:rPr>
          <w:rFonts w:ascii="Times New Roman" w:eastAsia="Times New Roman" w:hAnsi="Times New Roman" w:cs="Times New Roman"/>
          <w:i/>
          <w:iCs/>
          <w:color w:val="000000"/>
          <w:sz w:val="20"/>
          <w:szCs w:val="20"/>
        </w:rPr>
        <w:t>BusinessDay</w:t>
      </w:r>
      <w:proofErr w:type="spellEnd"/>
      <w:r w:rsidRPr="0074114D">
        <w:rPr>
          <w:rFonts w:ascii="Times New Roman" w:eastAsia="Times New Roman" w:hAnsi="Times New Roman" w:cs="Times New Roman"/>
          <w:color w:val="000000"/>
          <w:sz w:val="20"/>
          <w:szCs w:val="20"/>
        </w:rPr>
        <w:t xml:space="preserve"> (22 Octob</w:t>
      </w:r>
      <w:r w:rsidRPr="0074114D">
        <w:rPr>
          <w:rFonts w:ascii="Times New Roman" w:eastAsia="Times New Roman" w:hAnsi="Times New Roman" w:cs="Times New Roman"/>
          <w:color w:val="000000"/>
          <w:sz w:val="20"/>
          <w:szCs w:val="20"/>
        </w:rPr>
        <w:t>er 2024) &lt;</w:t>
      </w:r>
      <w:hyperlink r:id="rId15">
        <w:r w:rsidRPr="0074114D">
          <w:rPr>
            <w:rFonts w:ascii="Times New Roman" w:eastAsia="Times New Roman" w:hAnsi="Times New Roman" w:cs="Times New Roman"/>
            <w:color w:val="0000FF"/>
            <w:sz w:val="20"/>
            <w:szCs w:val="20"/>
            <w:u w:val="single"/>
          </w:rPr>
          <w:t>https://businessday.ng/technology/article/spotify-hikes-fee-to-n1300-month-on-weaker-naira/</w:t>
        </w:r>
      </w:hyperlink>
      <w:r w:rsidRPr="0074114D">
        <w:rPr>
          <w:rFonts w:ascii="Times New Roman" w:eastAsia="Times New Roman" w:hAnsi="Times New Roman" w:cs="Times New Roman"/>
          <w:color w:val="000000"/>
          <w:sz w:val="20"/>
          <w:szCs w:val="20"/>
        </w:rPr>
        <w:t>&gt; accessed 13 June 2026.</w:t>
      </w:r>
    </w:p>
  </w:footnote>
  <w:footnote w:id="43">
    <w:p w14:paraId="00000085"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A. </w:t>
      </w:r>
      <w:proofErr w:type="spellStart"/>
      <w:r w:rsidRPr="0074114D">
        <w:rPr>
          <w:rFonts w:ascii="Times New Roman" w:eastAsia="Times New Roman" w:hAnsi="Times New Roman" w:cs="Times New Roman"/>
          <w:color w:val="000000"/>
          <w:sz w:val="20"/>
          <w:szCs w:val="20"/>
        </w:rPr>
        <w:t>Adepetun</w:t>
      </w:r>
      <w:proofErr w:type="spellEnd"/>
      <w:r w:rsidRPr="0074114D">
        <w:rPr>
          <w:rFonts w:ascii="Times New Roman" w:eastAsia="Times New Roman" w:hAnsi="Times New Roman" w:cs="Times New Roman"/>
          <w:color w:val="000000"/>
          <w:sz w:val="20"/>
          <w:szCs w:val="20"/>
        </w:rPr>
        <w:t xml:space="preserve">, ‘YouTube increases premium service price by 54%’ </w:t>
      </w:r>
      <w:r w:rsidRPr="0074114D">
        <w:rPr>
          <w:rFonts w:ascii="Times New Roman" w:eastAsia="Times New Roman" w:hAnsi="Times New Roman" w:cs="Times New Roman"/>
          <w:i/>
          <w:iCs/>
          <w:color w:val="000000"/>
          <w:sz w:val="20"/>
          <w:szCs w:val="20"/>
        </w:rPr>
        <w:t>The Guardian</w:t>
      </w:r>
      <w:r w:rsidRPr="0074114D">
        <w:rPr>
          <w:rFonts w:ascii="Times New Roman" w:eastAsia="Times New Roman" w:hAnsi="Times New Roman" w:cs="Times New Roman"/>
          <w:color w:val="000000"/>
          <w:sz w:val="20"/>
          <w:szCs w:val="20"/>
        </w:rPr>
        <w:t xml:space="preserve"> (7 April 2025) &lt;</w:t>
      </w:r>
      <w:hyperlink r:id="rId16">
        <w:r w:rsidRPr="0074114D">
          <w:rPr>
            <w:rFonts w:ascii="Times New Roman" w:eastAsia="Times New Roman" w:hAnsi="Times New Roman" w:cs="Times New Roman"/>
            <w:color w:val="0000FF"/>
            <w:sz w:val="20"/>
            <w:szCs w:val="20"/>
            <w:u w:val="single"/>
          </w:rPr>
          <w:t>https://guardian.ng/news/youtube-increases-premium-service-price-by-54/</w:t>
        </w:r>
      </w:hyperlink>
      <w:r w:rsidRPr="0074114D">
        <w:rPr>
          <w:rFonts w:ascii="Times New Roman" w:eastAsia="Times New Roman" w:hAnsi="Times New Roman" w:cs="Times New Roman"/>
          <w:color w:val="000000"/>
          <w:sz w:val="20"/>
          <w:szCs w:val="20"/>
        </w:rPr>
        <w:t xml:space="preserve">&gt; </w:t>
      </w:r>
      <w:r w:rsidRPr="0074114D">
        <w:rPr>
          <w:rFonts w:ascii="Times New Roman" w:eastAsia="Times New Roman" w:hAnsi="Times New Roman" w:cs="Times New Roman"/>
          <w:color w:val="000000"/>
          <w:sz w:val="20"/>
          <w:szCs w:val="20"/>
        </w:rPr>
        <w:t>accessed 13 June 2026.</w:t>
      </w:r>
    </w:p>
  </w:footnote>
  <w:footnote w:id="44">
    <w:p w14:paraId="00000086"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A. Francis, ‘Apple Raises Apple Music Subscription Prices In Nigeria’ </w:t>
      </w:r>
      <w:proofErr w:type="spellStart"/>
      <w:r w:rsidRPr="0074114D">
        <w:rPr>
          <w:rFonts w:ascii="Times New Roman" w:eastAsia="Times New Roman" w:hAnsi="Times New Roman" w:cs="Times New Roman"/>
          <w:i/>
          <w:iCs/>
          <w:color w:val="000000"/>
          <w:sz w:val="20"/>
          <w:szCs w:val="20"/>
        </w:rPr>
        <w:t>Gofishe</w:t>
      </w:r>
      <w:proofErr w:type="spellEnd"/>
      <w:r w:rsidRPr="0074114D">
        <w:rPr>
          <w:rFonts w:ascii="Times New Roman" w:eastAsia="Times New Roman" w:hAnsi="Times New Roman" w:cs="Times New Roman"/>
          <w:i/>
          <w:iCs/>
          <w:color w:val="000000"/>
          <w:sz w:val="20"/>
          <w:szCs w:val="20"/>
        </w:rPr>
        <w:t xml:space="preserve"> News</w:t>
      </w:r>
      <w:r w:rsidRPr="0074114D">
        <w:rPr>
          <w:rFonts w:ascii="Times New Roman" w:eastAsia="Times New Roman" w:hAnsi="Times New Roman" w:cs="Times New Roman"/>
          <w:color w:val="000000"/>
          <w:sz w:val="20"/>
          <w:szCs w:val="20"/>
        </w:rPr>
        <w:t xml:space="preserve"> (12 June 2025) &lt;</w:t>
      </w:r>
      <w:hyperlink r:id="rId17">
        <w:r w:rsidRPr="0074114D">
          <w:rPr>
            <w:rFonts w:ascii="Times New Roman" w:eastAsia="Times New Roman" w:hAnsi="Times New Roman" w:cs="Times New Roman"/>
            <w:color w:val="0000FF"/>
            <w:sz w:val="20"/>
            <w:szCs w:val="20"/>
            <w:u w:val="single"/>
          </w:rPr>
          <w:t>https://govima.com/news/apple-ra</w:t>
        </w:r>
        <w:r w:rsidRPr="0074114D">
          <w:rPr>
            <w:rFonts w:ascii="Times New Roman" w:eastAsia="Times New Roman" w:hAnsi="Times New Roman" w:cs="Times New Roman"/>
            <w:color w:val="0000FF"/>
            <w:sz w:val="20"/>
            <w:szCs w:val="20"/>
            <w:u w:val="single"/>
          </w:rPr>
          <w:t>ises-apple-music-subscription-prices-in-nigeria/</w:t>
        </w:r>
      </w:hyperlink>
      <w:r w:rsidRPr="0074114D">
        <w:rPr>
          <w:rFonts w:ascii="Times New Roman" w:eastAsia="Times New Roman" w:hAnsi="Times New Roman" w:cs="Times New Roman"/>
          <w:color w:val="000000"/>
          <w:sz w:val="20"/>
          <w:szCs w:val="20"/>
        </w:rPr>
        <w:t>&gt; accessed 13 June 2026</w:t>
      </w:r>
    </w:p>
  </w:footnote>
  <w:footnote w:id="45">
    <w:p w14:paraId="00000087" w14:textId="77777777" w:rsidR="00AF5996" w:rsidRPr="0074114D" w:rsidRDefault="00083456">
      <w:pPr>
        <w:pBdr>
          <w:top w:val="nil"/>
          <w:left w:val="nil"/>
          <w:bottom w:val="nil"/>
          <w:right w:val="nil"/>
          <w:between w:val="nil"/>
        </w:pBdr>
        <w:jc w:val="both"/>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For </w:t>
      </w:r>
      <w:proofErr w:type="spellStart"/>
      <w:r w:rsidRPr="0074114D">
        <w:rPr>
          <w:rFonts w:ascii="Times New Roman" w:eastAsia="Times New Roman" w:hAnsi="Times New Roman" w:cs="Times New Roman"/>
          <w:color w:val="000000"/>
          <w:sz w:val="20"/>
          <w:szCs w:val="20"/>
        </w:rPr>
        <w:t>GOtv</w:t>
      </w:r>
      <w:proofErr w:type="spellEnd"/>
      <w:r w:rsidRPr="0074114D">
        <w:rPr>
          <w:rFonts w:ascii="Times New Roman" w:eastAsia="Times New Roman" w:hAnsi="Times New Roman" w:cs="Times New Roman"/>
          <w:color w:val="000000"/>
          <w:sz w:val="20"/>
          <w:szCs w:val="20"/>
        </w:rPr>
        <w:t xml:space="preserve"> the basic package increased 8.3% from N3</w:t>
      </w:r>
      <w:proofErr w:type="gramStart"/>
      <w:r w:rsidRPr="0074114D">
        <w:rPr>
          <w:rFonts w:ascii="Times New Roman" w:eastAsia="Times New Roman" w:hAnsi="Times New Roman" w:cs="Times New Roman"/>
          <w:color w:val="000000"/>
          <w:sz w:val="20"/>
          <w:szCs w:val="20"/>
        </w:rPr>
        <w:t>,600</w:t>
      </w:r>
      <w:proofErr w:type="gramEnd"/>
      <w:r w:rsidRPr="0074114D">
        <w:rPr>
          <w:rFonts w:ascii="Times New Roman" w:eastAsia="Times New Roman" w:hAnsi="Times New Roman" w:cs="Times New Roman"/>
          <w:color w:val="000000"/>
          <w:sz w:val="20"/>
          <w:szCs w:val="20"/>
        </w:rPr>
        <w:t xml:space="preserve"> to N3,900 and </w:t>
      </w:r>
      <w:proofErr w:type="spellStart"/>
      <w:r w:rsidRPr="0074114D">
        <w:rPr>
          <w:rFonts w:ascii="Times New Roman" w:eastAsia="Times New Roman" w:hAnsi="Times New Roman" w:cs="Times New Roman"/>
          <w:color w:val="000000"/>
          <w:sz w:val="20"/>
          <w:szCs w:val="20"/>
        </w:rPr>
        <w:t>GOtv</w:t>
      </w:r>
      <w:proofErr w:type="spellEnd"/>
      <w:r w:rsidRPr="0074114D">
        <w:rPr>
          <w:rFonts w:ascii="Times New Roman" w:eastAsia="Times New Roman" w:hAnsi="Times New Roman" w:cs="Times New Roman"/>
          <w:color w:val="000000"/>
          <w:sz w:val="20"/>
          <w:szCs w:val="20"/>
        </w:rPr>
        <w:t xml:space="preserve"> Plus increased 19.5% from N4,850 to N5,800. </w:t>
      </w:r>
      <w:proofErr w:type="spellStart"/>
      <w:r w:rsidRPr="0074114D">
        <w:rPr>
          <w:rFonts w:ascii="Times New Roman" w:eastAsia="Times New Roman" w:hAnsi="Times New Roman" w:cs="Times New Roman"/>
          <w:color w:val="000000"/>
          <w:sz w:val="20"/>
          <w:szCs w:val="20"/>
        </w:rPr>
        <w:t>GOtv</w:t>
      </w:r>
      <w:proofErr w:type="spellEnd"/>
      <w:r w:rsidRPr="0074114D">
        <w:rPr>
          <w:rFonts w:ascii="Times New Roman" w:eastAsia="Times New Roman" w:hAnsi="Times New Roman" w:cs="Times New Roman"/>
          <w:color w:val="000000"/>
          <w:sz w:val="20"/>
          <w:szCs w:val="20"/>
        </w:rPr>
        <w:t xml:space="preserve"> Max increased 18% from N7</w:t>
      </w:r>
      <w:proofErr w:type="gramStart"/>
      <w:r w:rsidRPr="0074114D">
        <w:rPr>
          <w:rFonts w:ascii="Times New Roman" w:eastAsia="Times New Roman" w:hAnsi="Times New Roman" w:cs="Times New Roman"/>
          <w:color w:val="000000"/>
          <w:sz w:val="20"/>
          <w:szCs w:val="20"/>
        </w:rPr>
        <w:t>,200</w:t>
      </w:r>
      <w:proofErr w:type="gramEnd"/>
      <w:r w:rsidRPr="0074114D">
        <w:rPr>
          <w:rFonts w:ascii="Times New Roman" w:eastAsia="Times New Roman" w:hAnsi="Times New Roman" w:cs="Times New Roman"/>
          <w:color w:val="000000"/>
          <w:sz w:val="20"/>
          <w:szCs w:val="20"/>
        </w:rPr>
        <w:t xml:space="preserve"> to N8,500, </w:t>
      </w:r>
      <w:proofErr w:type="spellStart"/>
      <w:r w:rsidRPr="0074114D">
        <w:rPr>
          <w:rFonts w:ascii="Times New Roman" w:eastAsia="Times New Roman" w:hAnsi="Times New Roman" w:cs="Times New Roman"/>
          <w:color w:val="000000"/>
          <w:sz w:val="20"/>
          <w:szCs w:val="20"/>
        </w:rPr>
        <w:t>Supa</w:t>
      </w:r>
      <w:proofErr w:type="spellEnd"/>
      <w:r w:rsidRPr="0074114D">
        <w:rPr>
          <w:rFonts w:ascii="Times New Roman" w:eastAsia="Times New Roman" w:hAnsi="Times New Roman" w:cs="Times New Roman"/>
          <w:color w:val="000000"/>
          <w:sz w:val="20"/>
          <w:szCs w:val="20"/>
        </w:rPr>
        <w:t xml:space="preserve"> increased 18.7</w:t>
      </w:r>
      <w:r w:rsidRPr="0074114D">
        <w:rPr>
          <w:rFonts w:ascii="Times New Roman" w:eastAsia="Times New Roman" w:hAnsi="Times New Roman" w:cs="Times New Roman"/>
          <w:color w:val="000000"/>
          <w:sz w:val="20"/>
          <w:szCs w:val="20"/>
        </w:rPr>
        <w:t xml:space="preserve">% from N9,600 to N11,400, and </w:t>
      </w:r>
      <w:proofErr w:type="spellStart"/>
      <w:r w:rsidRPr="0074114D">
        <w:rPr>
          <w:rFonts w:ascii="Times New Roman" w:eastAsia="Times New Roman" w:hAnsi="Times New Roman" w:cs="Times New Roman"/>
          <w:color w:val="000000"/>
          <w:sz w:val="20"/>
          <w:szCs w:val="20"/>
        </w:rPr>
        <w:t>Supa</w:t>
      </w:r>
      <w:proofErr w:type="spellEnd"/>
      <w:r w:rsidRPr="0074114D">
        <w:rPr>
          <w:rFonts w:ascii="Times New Roman" w:eastAsia="Times New Roman" w:hAnsi="Times New Roman" w:cs="Times New Roman"/>
          <w:color w:val="000000"/>
          <w:sz w:val="20"/>
          <w:szCs w:val="20"/>
        </w:rPr>
        <w:t xml:space="preserve"> Plus increased 7% from N15,700 to N16,800. For </w:t>
      </w:r>
      <w:proofErr w:type="spellStart"/>
      <w:r w:rsidRPr="0074114D">
        <w:rPr>
          <w:rFonts w:ascii="Times New Roman" w:eastAsia="Times New Roman" w:hAnsi="Times New Roman" w:cs="Times New Roman"/>
          <w:color w:val="000000"/>
          <w:sz w:val="20"/>
          <w:szCs w:val="20"/>
        </w:rPr>
        <w:t>DStv</w:t>
      </w:r>
      <w:proofErr w:type="spellEnd"/>
      <w:r w:rsidRPr="0074114D">
        <w:rPr>
          <w:rFonts w:ascii="Times New Roman" w:eastAsia="Times New Roman" w:hAnsi="Times New Roman" w:cs="Times New Roman"/>
          <w:color w:val="000000"/>
          <w:sz w:val="20"/>
          <w:szCs w:val="20"/>
        </w:rPr>
        <w:t>, Premium increased 20.2% from N37</w:t>
      </w:r>
      <w:proofErr w:type="gramStart"/>
      <w:r w:rsidRPr="0074114D">
        <w:rPr>
          <w:rFonts w:ascii="Times New Roman" w:eastAsia="Times New Roman" w:hAnsi="Times New Roman" w:cs="Times New Roman"/>
          <w:color w:val="000000"/>
          <w:sz w:val="20"/>
          <w:szCs w:val="20"/>
        </w:rPr>
        <w:t>,000</w:t>
      </w:r>
      <w:proofErr w:type="gramEnd"/>
      <w:r w:rsidRPr="0074114D">
        <w:rPr>
          <w:rFonts w:ascii="Times New Roman" w:eastAsia="Times New Roman" w:hAnsi="Times New Roman" w:cs="Times New Roman"/>
          <w:color w:val="000000"/>
          <w:sz w:val="20"/>
          <w:szCs w:val="20"/>
        </w:rPr>
        <w:t xml:space="preserve"> to N44,500, Compact Plus increased 20% from N25,000 to N30,000, and Compact increased 21% from N15,700 to N19,000. </w:t>
      </w:r>
      <w:proofErr w:type="spellStart"/>
      <w:r w:rsidRPr="0074114D">
        <w:rPr>
          <w:rFonts w:ascii="Times New Roman" w:eastAsia="Times New Roman" w:hAnsi="Times New Roman" w:cs="Times New Roman"/>
          <w:color w:val="000000"/>
          <w:sz w:val="20"/>
          <w:szCs w:val="20"/>
        </w:rPr>
        <w:t>Confam</w:t>
      </w:r>
      <w:proofErr w:type="spellEnd"/>
      <w:r w:rsidRPr="0074114D">
        <w:rPr>
          <w:rFonts w:ascii="Times New Roman" w:eastAsia="Times New Roman" w:hAnsi="Times New Roman" w:cs="Times New Roman"/>
          <w:color w:val="000000"/>
          <w:sz w:val="20"/>
          <w:szCs w:val="20"/>
        </w:rPr>
        <w:t xml:space="preserve"> increased</w:t>
      </w:r>
      <w:r w:rsidRPr="0074114D">
        <w:rPr>
          <w:rFonts w:ascii="Times New Roman" w:eastAsia="Times New Roman" w:hAnsi="Times New Roman" w:cs="Times New Roman"/>
          <w:color w:val="000000"/>
          <w:sz w:val="20"/>
          <w:szCs w:val="20"/>
        </w:rPr>
        <w:t xml:space="preserve"> 22.2% from N9,000 to N11,000, Yanga increased 17.6% from N5,100 to N6,000, and </w:t>
      </w:r>
      <w:proofErr w:type="spellStart"/>
      <w:r w:rsidRPr="0074114D">
        <w:rPr>
          <w:rFonts w:ascii="Times New Roman" w:eastAsia="Times New Roman" w:hAnsi="Times New Roman" w:cs="Times New Roman"/>
          <w:color w:val="000000"/>
          <w:sz w:val="20"/>
          <w:szCs w:val="20"/>
        </w:rPr>
        <w:t>Padi</w:t>
      </w:r>
      <w:proofErr w:type="spellEnd"/>
      <w:r w:rsidRPr="0074114D">
        <w:rPr>
          <w:rFonts w:ascii="Times New Roman" w:eastAsia="Times New Roman" w:hAnsi="Times New Roman" w:cs="Times New Roman"/>
          <w:color w:val="000000"/>
          <w:sz w:val="20"/>
          <w:szCs w:val="20"/>
        </w:rPr>
        <w:t xml:space="preserve"> increased 22.2% from N3,600 to N4,400</w:t>
      </w:r>
    </w:p>
  </w:footnote>
  <w:footnote w:id="46">
    <w:p w14:paraId="00000088"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Federal Competition and Consumer Protection Act 2018 s 17(b), 17(l), 17(s), 72(2</w:t>
      </w:r>
      <w:proofErr w:type="gramStart"/>
      <w:r w:rsidRPr="0074114D">
        <w:rPr>
          <w:rFonts w:ascii="Times New Roman" w:eastAsia="Times New Roman" w:hAnsi="Times New Roman" w:cs="Times New Roman"/>
          <w:color w:val="000000"/>
          <w:sz w:val="20"/>
          <w:szCs w:val="20"/>
        </w:rPr>
        <w:t>)(</w:t>
      </w:r>
      <w:proofErr w:type="gramEnd"/>
      <w:r w:rsidRPr="0074114D">
        <w:rPr>
          <w:rFonts w:ascii="Times New Roman" w:eastAsia="Times New Roman" w:hAnsi="Times New Roman" w:cs="Times New Roman"/>
          <w:color w:val="000000"/>
          <w:sz w:val="20"/>
          <w:szCs w:val="20"/>
        </w:rPr>
        <w:t>a) and 72(2)(d)(iv).</w:t>
      </w:r>
    </w:p>
  </w:footnote>
  <w:footnote w:id="47">
    <w:p w14:paraId="00000089"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Ibid s 88</w:t>
      </w:r>
    </w:p>
  </w:footnote>
  <w:footnote w:id="48">
    <w:p w14:paraId="0000008A" w14:textId="77777777" w:rsidR="00AF5996" w:rsidRPr="0074114D" w:rsidRDefault="00083456">
      <w:pPr>
        <w:pBdr>
          <w:top w:val="nil"/>
          <w:left w:val="nil"/>
          <w:bottom w:val="nil"/>
          <w:right w:val="nil"/>
          <w:between w:val="nil"/>
        </w:pBdr>
        <w:rPr>
          <w:rFonts w:ascii="Times New Roman" w:eastAsia="Times New Roman" w:hAnsi="Times New Roman" w:cs="Times New Roman"/>
          <w:color w:val="000000"/>
          <w:sz w:val="20"/>
          <w:szCs w:val="20"/>
        </w:rPr>
      </w:pPr>
      <w:r w:rsidRPr="0074114D">
        <w:rPr>
          <w:rFonts w:ascii="Times New Roman" w:hAnsi="Times New Roman" w:cs="Times New Roman"/>
          <w:sz w:val="20"/>
          <w:szCs w:val="20"/>
          <w:vertAlign w:val="superscript"/>
        </w:rPr>
        <w:footnoteRef/>
      </w:r>
      <w:r w:rsidRPr="0074114D">
        <w:rPr>
          <w:rFonts w:ascii="Times New Roman" w:eastAsia="Times New Roman" w:hAnsi="Times New Roman" w:cs="Times New Roman"/>
          <w:color w:val="000000"/>
          <w:sz w:val="20"/>
          <w:szCs w:val="20"/>
        </w:rPr>
        <w:t xml:space="preserve"> E </w:t>
      </w:r>
      <w:proofErr w:type="spellStart"/>
      <w:r w:rsidRPr="0074114D">
        <w:rPr>
          <w:rFonts w:ascii="Times New Roman" w:eastAsia="Times New Roman" w:hAnsi="Times New Roman" w:cs="Times New Roman"/>
          <w:color w:val="000000"/>
          <w:sz w:val="20"/>
          <w:szCs w:val="20"/>
        </w:rPr>
        <w:t>Okhue</w:t>
      </w:r>
      <w:proofErr w:type="spellEnd"/>
      <w:r w:rsidRPr="0074114D">
        <w:rPr>
          <w:rFonts w:ascii="Times New Roman" w:eastAsia="Times New Roman" w:hAnsi="Times New Roman" w:cs="Times New Roman"/>
          <w:color w:val="000000"/>
          <w:sz w:val="20"/>
          <w:szCs w:val="20"/>
        </w:rPr>
        <w:t>, ‘</w:t>
      </w:r>
      <w:proofErr w:type="spellStart"/>
      <w:r w:rsidRPr="0074114D">
        <w:rPr>
          <w:rFonts w:ascii="Times New Roman" w:eastAsia="Times New Roman" w:hAnsi="Times New Roman" w:cs="Times New Roman"/>
          <w:color w:val="000000"/>
          <w:sz w:val="20"/>
          <w:szCs w:val="20"/>
        </w:rPr>
        <w:t>Mult</w:t>
      </w:r>
      <w:r w:rsidRPr="0074114D">
        <w:rPr>
          <w:rFonts w:ascii="Times New Roman" w:eastAsia="Times New Roman" w:hAnsi="Times New Roman" w:cs="Times New Roman"/>
          <w:color w:val="000000"/>
          <w:sz w:val="20"/>
          <w:szCs w:val="20"/>
        </w:rPr>
        <w:t>iChoice’s</w:t>
      </w:r>
      <w:proofErr w:type="spellEnd"/>
      <w:r w:rsidRPr="0074114D">
        <w:rPr>
          <w:rFonts w:ascii="Times New Roman" w:eastAsia="Times New Roman" w:hAnsi="Times New Roman" w:cs="Times New Roman"/>
          <w:color w:val="000000"/>
          <w:sz w:val="20"/>
          <w:szCs w:val="20"/>
        </w:rPr>
        <w:t xml:space="preserve"> Right to Fix Prices for Its Services: A Landmark Decision and Win for Nigeria’s Free-market Economy’ (</w:t>
      </w:r>
      <w:r w:rsidRPr="0074114D">
        <w:rPr>
          <w:rFonts w:ascii="Times New Roman" w:eastAsia="Times New Roman" w:hAnsi="Times New Roman" w:cs="Times New Roman"/>
          <w:i/>
          <w:iCs/>
          <w:color w:val="000000"/>
          <w:sz w:val="20"/>
          <w:szCs w:val="20"/>
        </w:rPr>
        <w:t>Infusion Lawyers</w:t>
      </w:r>
      <w:r w:rsidRPr="0074114D">
        <w:rPr>
          <w:rFonts w:ascii="Times New Roman" w:eastAsia="Times New Roman" w:hAnsi="Times New Roman" w:cs="Times New Roman"/>
          <w:color w:val="000000"/>
          <w:sz w:val="20"/>
          <w:szCs w:val="20"/>
        </w:rPr>
        <w:t>, 10 June 2025) &lt;</w:t>
      </w:r>
      <w:hyperlink r:id="rId18">
        <w:r w:rsidRPr="0074114D">
          <w:rPr>
            <w:rFonts w:ascii="Times New Roman" w:eastAsia="Times New Roman" w:hAnsi="Times New Roman" w:cs="Times New Roman"/>
            <w:color w:val="0000FF"/>
            <w:sz w:val="20"/>
            <w:szCs w:val="20"/>
            <w:u w:val="single"/>
          </w:rPr>
          <w:t>https://infusionlawyers.com/multichoices-right-to-fix-prices-for-its-services-a-landmark-decision-and-win-for-nigerias-free-market-economy/</w:t>
        </w:r>
      </w:hyperlink>
      <w:r w:rsidRPr="0074114D">
        <w:rPr>
          <w:rFonts w:ascii="Times New Roman" w:eastAsia="Times New Roman" w:hAnsi="Times New Roman" w:cs="Times New Roman"/>
          <w:color w:val="000000"/>
          <w:sz w:val="20"/>
          <w:szCs w:val="20"/>
        </w:rPr>
        <w:t xml:space="preserve">&gt; accessed 13 June 2026; O </w:t>
      </w:r>
      <w:proofErr w:type="spellStart"/>
      <w:r w:rsidRPr="0074114D">
        <w:rPr>
          <w:rFonts w:ascii="Times New Roman" w:eastAsia="Times New Roman" w:hAnsi="Times New Roman" w:cs="Times New Roman"/>
          <w:color w:val="000000"/>
          <w:sz w:val="20"/>
          <w:szCs w:val="20"/>
        </w:rPr>
        <w:t>Ijagwu</w:t>
      </w:r>
      <w:proofErr w:type="spellEnd"/>
      <w:r w:rsidRPr="0074114D">
        <w:rPr>
          <w:rFonts w:ascii="Times New Roman" w:eastAsia="Times New Roman" w:hAnsi="Times New Roman" w:cs="Times New Roman"/>
          <w:color w:val="000000"/>
          <w:sz w:val="20"/>
          <w:szCs w:val="20"/>
        </w:rPr>
        <w:t xml:space="preserve">, ‘Subscription Hike: FCCPC Floors </w:t>
      </w:r>
      <w:proofErr w:type="spellStart"/>
      <w:r w:rsidRPr="0074114D">
        <w:rPr>
          <w:rFonts w:ascii="Times New Roman" w:eastAsia="Times New Roman" w:hAnsi="Times New Roman" w:cs="Times New Roman"/>
          <w:color w:val="000000"/>
          <w:sz w:val="20"/>
          <w:szCs w:val="20"/>
        </w:rPr>
        <w:t>M</w:t>
      </w:r>
      <w:r w:rsidRPr="0074114D">
        <w:rPr>
          <w:rFonts w:ascii="Times New Roman" w:eastAsia="Times New Roman" w:hAnsi="Times New Roman" w:cs="Times New Roman"/>
          <w:color w:val="000000"/>
          <w:sz w:val="20"/>
          <w:szCs w:val="20"/>
        </w:rPr>
        <w:t>ultiChoice</w:t>
      </w:r>
      <w:proofErr w:type="spellEnd"/>
      <w:r w:rsidRPr="0074114D">
        <w:rPr>
          <w:rFonts w:ascii="Times New Roman" w:eastAsia="Times New Roman" w:hAnsi="Times New Roman" w:cs="Times New Roman"/>
          <w:color w:val="000000"/>
          <w:sz w:val="20"/>
          <w:szCs w:val="20"/>
        </w:rPr>
        <w:t>’ (</w:t>
      </w:r>
      <w:r w:rsidRPr="0074114D">
        <w:rPr>
          <w:rFonts w:ascii="Times New Roman" w:eastAsia="Times New Roman" w:hAnsi="Times New Roman" w:cs="Times New Roman"/>
          <w:i/>
          <w:iCs/>
          <w:color w:val="000000"/>
          <w:sz w:val="20"/>
          <w:szCs w:val="20"/>
        </w:rPr>
        <w:t>Federal Competition &amp; Consumer Protection Commission</w:t>
      </w:r>
      <w:r w:rsidRPr="0074114D">
        <w:rPr>
          <w:rFonts w:ascii="Times New Roman" w:eastAsia="Times New Roman" w:hAnsi="Times New Roman" w:cs="Times New Roman"/>
          <w:color w:val="000000"/>
          <w:sz w:val="20"/>
          <w:szCs w:val="20"/>
        </w:rPr>
        <w:t>, 8 May 2025) &lt;</w:t>
      </w:r>
      <w:hyperlink r:id="rId19">
        <w:r w:rsidRPr="0074114D">
          <w:rPr>
            <w:rFonts w:ascii="Times New Roman" w:eastAsia="Times New Roman" w:hAnsi="Times New Roman" w:cs="Times New Roman"/>
            <w:color w:val="0000FF"/>
            <w:sz w:val="20"/>
            <w:szCs w:val="20"/>
            <w:u w:val="single"/>
          </w:rPr>
          <w:t>https://fccpc.gov.ng/subscription-hike-fccpc-floors-multichoice/</w:t>
        </w:r>
      </w:hyperlink>
      <w:r w:rsidRPr="0074114D">
        <w:rPr>
          <w:rFonts w:ascii="Times New Roman" w:eastAsia="Times New Roman" w:hAnsi="Times New Roman" w:cs="Times New Roman"/>
          <w:color w:val="000000"/>
          <w:sz w:val="20"/>
          <w:szCs w:val="20"/>
        </w:rPr>
        <w:t>&gt; accessed 13 June 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B" w14:textId="77777777" w:rsidR="00AF5996" w:rsidRDefault="00AF5996">
    <w:pPr>
      <w:spacing w:before="240" w:after="240" w:line="360" w:lineRule="auto"/>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996"/>
    <w:rsid w:val="00083456"/>
    <w:rsid w:val="0074114D"/>
    <w:rsid w:val="00AF5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9D967B-BE88-4CAF-91F1-3CE35F1D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FootnoteText">
    <w:name w:val="footnote text"/>
    <w:basedOn w:val="Normal"/>
    <w:link w:val="FootnoteTextChar"/>
    <w:uiPriority w:val="99"/>
    <w:semiHidden/>
    <w:unhideWhenUsed/>
    <w:rsid w:val="0074114D"/>
    <w:rPr>
      <w:sz w:val="20"/>
      <w:szCs w:val="20"/>
    </w:rPr>
  </w:style>
  <w:style w:type="character" w:customStyle="1" w:styleId="FootnoteTextChar">
    <w:name w:val="Footnote Text Char"/>
    <w:basedOn w:val="DefaultParagraphFont"/>
    <w:link w:val="FootnoteText"/>
    <w:uiPriority w:val="99"/>
    <w:semiHidden/>
    <w:rsid w:val="0074114D"/>
    <w:rPr>
      <w:sz w:val="20"/>
      <w:szCs w:val="20"/>
    </w:rPr>
  </w:style>
  <w:style w:type="character" w:styleId="FootnoteReference">
    <w:name w:val="footnote reference"/>
    <w:basedOn w:val="DefaultParagraphFont"/>
    <w:uiPriority w:val="99"/>
    <w:semiHidden/>
    <w:unhideWhenUsed/>
    <w:rsid w:val="0074114D"/>
    <w:rPr>
      <w:vertAlign w:val="superscript"/>
    </w:rPr>
  </w:style>
  <w:style w:type="paragraph" w:styleId="NormalWeb">
    <w:name w:val="Normal (Web)"/>
    <w:basedOn w:val="Normal"/>
    <w:uiPriority w:val="99"/>
    <w:unhideWhenUsed/>
    <w:rsid w:val="0074114D"/>
    <w:pPr>
      <w:widowControl/>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7411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140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ilsole24ore.com/art/netflix-rincari-illegiti-consumatori-rimborsi-fino-500-euro-l-azienda-faremo-ricorso-AFCH96ND" TargetMode="External"/><Relationship Id="rId13" Type="http://schemas.openxmlformats.org/officeDocument/2006/relationships/hyperlink" Target="https://www.clrnn.net/2021/11/26/assessing-the-statutory-regulation-of-unfair-contract-terms-under-the-nigerian-federal-competition-and-consumer-protection-act/" TargetMode="External"/><Relationship Id="rId18" Type="http://schemas.openxmlformats.org/officeDocument/2006/relationships/hyperlink" Target="https://infusionlawyers.com/multichoices-right-to-fix-prices-for-its-services-a-landmark-decision-and-win-for-nigerias-free-market-economy/" TargetMode="External"/><Relationship Id="rId3" Type="http://schemas.openxmlformats.org/officeDocument/2006/relationships/hyperlink" Target="https://businessnow.mt/freedom-to-cancel-is-not-consent-italian-netflix-ruling-raises-questions-on-subscription-services/" TargetMode="External"/><Relationship Id="rId7" Type="http://schemas.openxmlformats.org/officeDocument/2006/relationships/hyperlink" Target="https://ssrn.com/abstract=6256878" TargetMode="External"/><Relationship Id="rId12" Type="http://schemas.openxmlformats.org/officeDocument/2006/relationships/hyperlink" Target="https://www.nijioni.com/2019/03/20/a-review-of-the-federal-competition-and-consumer-protection-act-2018/" TargetMode="External"/><Relationship Id="rId17" Type="http://schemas.openxmlformats.org/officeDocument/2006/relationships/hyperlink" Target="https://govima.com/news/apple-raises-apple-music-subscription-prices-in-nigeria/" TargetMode="External"/><Relationship Id="rId2" Type="http://schemas.openxmlformats.org/officeDocument/2006/relationships/hyperlink" Target="https://ssrn.com/abstract=6465558" TargetMode="External"/><Relationship Id="rId16" Type="http://schemas.openxmlformats.org/officeDocument/2006/relationships/hyperlink" Target="https://guardian.ng/news/youtube-increases-premium-service-price-by-54/" TargetMode="External"/><Relationship Id="rId1" Type="http://schemas.openxmlformats.org/officeDocument/2006/relationships/hyperlink" Target="mailto:justicesuduobogha@gmail.com" TargetMode="External"/><Relationship Id="rId6" Type="http://schemas.openxmlformats.org/officeDocument/2006/relationships/hyperlink" Target="https://www.burr.com/newsroom/articles/formation-and-enforcement-of-on-line-contracts" TargetMode="External"/><Relationship Id="rId11" Type="http://schemas.openxmlformats.org/officeDocument/2006/relationships/hyperlink" Target="https://www.fca.org.uk/publication/finalised-guidance/fg18-07.pdf" TargetMode="External"/><Relationship Id="rId5" Type="http://schemas.openxmlformats.org/officeDocument/2006/relationships/hyperlink" Target="https://www.researchgate.net/publication/387659294_Standard_form_contract_relating_digital_law_requires_an_improvement_to_be_clearer_and_more_accessible" TargetMode="External"/><Relationship Id="rId15" Type="http://schemas.openxmlformats.org/officeDocument/2006/relationships/hyperlink" Target="https://businessday.ng/technology/article/spotify-hikes-fee-to-n1300-month-on-weaker-naira/" TargetMode="External"/><Relationship Id="rId10" Type="http://schemas.openxmlformats.org/officeDocument/2006/relationships/hyperlink" Target="https://www.hollywoodreporter.com/business/business-news/netflix-illegal-price-hikes-rome-court-rules-refunds-1235867761/" TargetMode="External"/><Relationship Id="rId19" Type="http://schemas.openxmlformats.org/officeDocument/2006/relationships/hyperlink" Target="https://fccpc.gov.ng/subscription-hike-fccpc-floors-multichoice/" TargetMode="External"/><Relationship Id="rId4" Type="http://schemas.openxmlformats.org/officeDocument/2006/relationships/hyperlink" Target="https://altsignals.io/post/rome-court-netflix-price-hike-ruling" TargetMode="External"/><Relationship Id="rId9" Type="http://schemas.openxmlformats.org/officeDocument/2006/relationships/hyperlink" Target="https://iclg.com/news/23738-italian-court-sides-with-consumer-group-in-netflix-price-hike-battle" TargetMode="External"/><Relationship Id="rId14" Type="http://schemas.openxmlformats.org/officeDocument/2006/relationships/hyperlink" Target="https://businessday.ng/technology/article/netflix-raises-subscription-fee-by-21-to-n8500-in-nig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xRjEuAmnFZ3nF/ir6VC50DByRQ==">CgMxLjA4AHIhMUNMMVVjWmYtTlZYZEZKZmI3TXdzNzlpVDZlVTNsS3RP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79EE8F-BFA8-4E25-8124-14C4ABFE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6047</Words>
  <Characters>34469</Characters>
  <Application>Microsoft Office Word</Application>
  <DocSecurity>0</DocSecurity>
  <Lines>287</Lines>
  <Paragraphs>80</Paragraphs>
  <ScaleCrop>false</ScaleCrop>
  <Company/>
  <LinksUpToDate>false</LinksUpToDate>
  <CharactersWithSpaces>40436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This</cp:lastModifiedBy>
  <cp:revision>2</cp:revision>
  <dcterms:created xsi:type="dcterms:W3CDTF">2026-06-22T09:38:00Z</dcterms:created>
  <dcterms:modified xsi:type="dcterms:W3CDTF">2026-06-22T09:43:00Z</dcterms:modified>
</cp:coreProperties>
</file>