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04A0B" w14:textId="24082E03" w:rsidR="00B8786E" w:rsidRPr="00540B7B" w:rsidRDefault="00936489" w:rsidP="00540B7B">
      <w:pPr>
        <w:pStyle w:val="NoSpacing"/>
        <w:spacing w:before="240" w:after="240"/>
        <w:contextualSpacing/>
        <w:jc w:val="center"/>
        <w:rPr>
          <w:rFonts w:ascii="Times New Roman" w:hAnsi="Times New Roman" w:cs="Times New Roman"/>
          <w:b/>
          <w:color w:val="000000" w:themeColor="text1"/>
          <w:sz w:val="36"/>
          <w:szCs w:val="36"/>
        </w:rPr>
      </w:pPr>
      <w:bookmarkStart w:id="0" w:name="_Hlk226444696"/>
      <w:r w:rsidRPr="00540B7B">
        <w:rPr>
          <w:rFonts w:ascii="Times New Roman" w:hAnsi="Times New Roman" w:cs="Times New Roman"/>
          <w:b/>
          <w:color w:val="000000" w:themeColor="text1"/>
          <w:sz w:val="36"/>
          <w:szCs w:val="36"/>
        </w:rPr>
        <w:t>COPING STRATEGIES A</w:t>
      </w:r>
      <w:r w:rsidR="008C5480" w:rsidRPr="00540B7B">
        <w:rPr>
          <w:rFonts w:ascii="Times New Roman" w:hAnsi="Times New Roman" w:cs="Times New Roman"/>
          <w:b/>
          <w:color w:val="000000" w:themeColor="text1"/>
          <w:sz w:val="36"/>
          <w:szCs w:val="36"/>
        </w:rPr>
        <w:t>ND</w:t>
      </w:r>
      <w:r w:rsidRPr="00540B7B">
        <w:rPr>
          <w:rFonts w:ascii="Times New Roman" w:hAnsi="Times New Roman" w:cs="Times New Roman"/>
          <w:b/>
          <w:color w:val="000000" w:themeColor="text1"/>
          <w:sz w:val="36"/>
          <w:szCs w:val="36"/>
        </w:rPr>
        <w:t xml:space="preserve"> ACADEMIC </w:t>
      </w:r>
      <w:r w:rsidR="00CD2B4B" w:rsidRPr="00540B7B">
        <w:rPr>
          <w:rFonts w:ascii="Times New Roman" w:hAnsi="Times New Roman" w:cs="Times New Roman"/>
          <w:b/>
          <w:color w:val="000000" w:themeColor="text1"/>
          <w:sz w:val="36"/>
          <w:szCs w:val="36"/>
        </w:rPr>
        <w:t>E</w:t>
      </w:r>
      <w:r w:rsidRPr="00540B7B">
        <w:rPr>
          <w:rFonts w:ascii="Times New Roman" w:hAnsi="Times New Roman" w:cs="Times New Roman"/>
          <w:b/>
          <w:color w:val="000000" w:themeColor="text1"/>
          <w:sz w:val="36"/>
          <w:szCs w:val="36"/>
        </w:rPr>
        <w:t>MOTION REGULATION</w:t>
      </w:r>
      <w:r w:rsidR="008C5480" w:rsidRPr="00540B7B">
        <w:rPr>
          <w:rFonts w:ascii="Times New Roman" w:hAnsi="Times New Roman" w:cs="Times New Roman"/>
          <w:b/>
          <w:color w:val="000000" w:themeColor="text1"/>
          <w:sz w:val="36"/>
          <w:szCs w:val="36"/>
        </w:rPr>
        <w:t xml:space="preserve"> </w:t>
      </w:r>
      <w:r w:rsidR="00184D9B" w:rsidRPr="00540B7B">
        <w:rPr>
          <w:rFonts w:ascii="Times New Roman" w:hAnsi="Times New Roman" w:cs="Times New Roman"/>
          <w:b/>
          <w:color w:val="000000" w:themeColor="text1"/>
          <w:sz w:val="36"/>
          <w:szCs w:val="36"/>
        </w:rPr>
        <w:t>AMONG</w:t>
      </w:r>
      <w:r w:rsidRPr="00540B7B">
        <w:rPr>
          <w:rFonts w:ascii="Times New Roman" w:hAnsi="Times New Roman" w:cs="Times New Roman"/>
          <w:b/>
          <w:color w:val="000000" w:themeColor="text1"/>
          <w:sz w:val="36"/>
          <w:szCs w:val="36"/>
        </w:rPr>
        <w:t xml:space="preserve"> NURSING STUDENTS</w:t>
      </w:r>
      <w:r w:rsidR="008C5480" w:rsidRPr="00540B7B">
        <w:rPr>
          <w:rFonts w:ascii="Times New Roman" w:hAnsi="Times New Roman" w:cs="Times New Roman"/>
          <w:b/>
          <w:color w:val="000000" w:themeColor="text1"/>
          <w:sz w:val="36"/>
          <w:szCs w:val="36"/>
        </w:rPr>
        <w:t xml:space="preserve"> IN PRIVATE</w:t>
      </w:r>
      <w:r w:rsidR="00B8786E" w:rsidRPr="00540B7B">
        <w:rPr>
          <w:rFonts w:ascii="Times New Roman" w:hAnsi="Times New Roman" w:cs="Times New Roman"/>
          <w:b/>
          <w:color w:val="000000" w:themeColor="text1"/>
          <w:sz w:val="36"/>
          <w:szCs w:val="36"/>
        </w:rPr>
        <w:t xml:space="preserve"> </w:t>
      </w:r>
      <w:r w:rsidR="008C5480" w:rsidRPr="00540B7B">
        <w:rPr>
          <w:rFonts w:ascii="Times New Roman" w:hAnsi="Times New Roman" w:cs="Times New Roman"/>
          <w:b/>
          <w:color w:val="000000" w:themeColor="text1"/>
          <w:sz w:val="36"/>
          <w:szCs w:val="36"/>
        </w:rPr>
        <w:t>HIGHER EDUCATION</w:t>
      </w:r>
      <w:r w:rsidR="00793DB5" w:rsidRPr="00540B7B">
        <w:rPr>
          <w:rFonts w:ascii="Times New Roman" w:hAnsi="Times New Roman" w:cs="Times New Roman"/>
          <w:b/>
          <w:color w:val="000000" w:themeColor="text1"/>
          <w:sz w:val="36"/>
          <w:szCs w:val="36"/>
        </w:rPr>
        <w:t xml:space="preserve"> </w:t>
      </w:r>
      <w:r w:rsidR="008C5480" w:rsidRPr="00540B7B">
        <w:rPr>
          <w:rFonts w:ascii="Times New Roman" w:hAnsi="Times New Roman" w:cs="Times New Roman"/>
          <w:b/>
          <w:color w:val="000000" w:themeColor="text1"/>
          <w:sz w:val="36"/>
          <w:szCs w:val="36"/>
        </w:rPr>
        <w:t>INSTITUTION IN SOUTHERN</w:t>
      </w:r>
    </w:p>
    <w:p w14:paraId="6F20BD06" w14:textId="3EC3D2E5" w:rsidR="00463A4B" w:rsidRPr="00540B7B" w:rsidRDefault="008C5480" w:rsidP="00540B7B">
      <w:pPr>
        <w:pStyle w:val="NoSpacing"/>
        <w:spacing w:before="240" w:after="240"/>
        <w:contextualSpacing/>
        <w:jc w:val="center"/>
        <w:rPr>
          <w:rFonts w:ascii="Times New Roman" w:hAnsi="Times New Roman" w:cs="Times New Roman"/>
          <w:b/>
          <w:color w:val="000000" w:themeColor="text1"/>
          <w:sz w:val="36"/>
          <w:szCs w:val="36"/>
        </w:rPr>
      </w:pPr>
      <w:r w:rsidRPr="00540B7B">
        <w:rPr>
          <w:rFonts w:ascii="Times New Roman" w:hAnsi="Times New Roman" w:cs="Times New Roman"/>
          <w:b/>
          <w:color w:val="000000" w:themeColor="text1"/>
          <w:sz w:val="36"/>
          <w:szCs w:val="36"/>
        </w:rPr>
        <w:t/>
      </w:r>
      <w:r w:rsidR="00B8786E" w:rsidRPr="00540B7B">
        <w:rPr>
          <w:rFonts w:ascii="Times New Roman" w:hAnsi="Times New Roman" w:cs="Times New Roman"/>
          <w:b/>
          <w:color w:val="000000" w:themeColor="text1"/>
          <w:sz w:val="36"/>
          <w:szCs w:val="36"/>
        </w:rPr>
        <w:t/>
      </w:r>
      <w:r w:rsidR="00CD2B4B" w:rsidRPr="00540B7B">
        <w:rPr>
          <w:rFonts w:ascii="Times New Roman" w:hAnsi="Times New Roman" w:cs="Times New Roman"/>
          <w:b/>
          <w:color w:val="000000" w:themeColor="text1"/>
          <w:sz w:val="36"/>
          <w:szCs w:val="36"/>
        </w:rPr>
        <w:t xml:space="preserve"/>
      </w:r>
      <w:r w:rsidRPr="00540B7B">
        <w:rPr>
          <w:rFonts w:ascii="Times New Roman" w:hAnsi="Times New Roman" w:cs="Times New Roman"/>
          <w:b/>
          <w:color w:val="000000" w:themeColor="text1"/>
          <w:sz w:val="36"/>
          <w:szCs w:val="36"/>
        </w:rPr>
        <w:t/>
      </w:r>
    </w:p>
    <w:p w14:paraId="76F7B66F" w14:textId="77777777" w:rsidR="001761A5" w:rsidRPr="00540B7B" w:rsidRDefault="001761A5" w:rsidP="00540B7B">
      <w:pPr>
        <w:pStyle w:val="NoSpacing"/>
        <w:spacing w:before="240" w:after="240"/>
        <w:contextualSpacing/>
        <w:jc w:val="center"/>
        <w:rPr>
          <w:rFonts w:ascii="Times New Roman" w:hAnsi="Times New Roman" w:cs="Times New Roman"/>
          <w:b/>
          <w:color w:val="000000" w:themeColor="text1"/>
          <w:sz w:val="24"/>
          <w:szCs w:val="24"/>
        </w:rPr>
      </w:pPr>
    </w:p>
    <w:p w14:paraId="3BFFA986" w14:textId="394B2358" w:rsidR="00CD2B4B" w:rsidRPr="00540B7B" w:rsidRDefault="00CD2B4B" w:rsidP="00540B7B">
      <w:pPr>
        <w:pStyle w:val="NoSpacing"/>
        <w:spacing w:before="240" w:after="240"/>
        <w:contextualSpacing/>
        <w:jc w:val="center"/>
        <w:rPr>
          <w:rFonts w:ascii="Times New Roman" w:hAnsi="Times New Roman" w:cs="Times New Roman"/>
          <w:b/>
          <w:color w:val="000000" w:themeColor="text1"/>
          <w:sz w:val="24"/>
          <w:szCs w:val="24"/>
          <w:vertAlign w:val="superscript"/>
        </w:rPr>
      </w:pPr>
      <w:r w:rsidRPr="00540B7B">
        <w:rPr>
          <w:rFonts w:ascii="Times New Roman" w:hAnsi="Times New Roman" w:cs="Times New Roman"/>
          <w:b/>
          <w:color w:val="000000" w:themeColor="text1"/>
          <w:sz w:val="24"/>
          <w:szCs w:val="24"/>
        </w:rPr>
        <w:t/>
      </w:r>
      <w:r w:rsidR="00D228EE">
        <w:rPr>
          <w:rFonts w:ascii="Times New Roman" w:hAnsi="Times New Roman" w:cs="Times New Roman"/>
          <w:b/>
          <w:color w:val="000000" w:themeColor="text1"/>
          <w:sz w:val="24"/>
          <w:szCs w:val="24"/>
        </w:rPr>
        <w:t/>
      </w:r>
    </w:p>
    <w:bookmarkEnd w:id="0"/>
    <w:p w14:paraId="675F5E92" w14:textId="32C46F41" w:rsidR="00624BCA" w:rsidRPr="00540B7B" w:rsidRDefault="00624BCA" w:rsidP="00540B7B">
      <w:pPr>
        <w:pStyle w:val="NoSpacing"/>
        <w:spacing w:before="240" w:after="240"/>
        <w:contextualSpacing/>
        <w:jc w:val="center"/>
        <w:rPr>
          <w:rFonts w:ascii="Times New Roman" w:hAnsi="Times New Roman" w:cs="Times New Roman"/>
          <w:b/>
          <w:color w:val="000000" w:themeColor="text1"/>
          <w:sz w:val="24"/>
          <w:szCs w:val="24"/>
        </w:rPr>
      </w:pPr>
    </w:p>
    <w:p w14:paraId="636104B6" w14:textId="5E1FD5E3" w:rsidR="00D228EE" w:rsidRPr="00540B7B" w:rsidRDefault="001761A5" w:rsidP="00540B7B">
      <w:pPr>
        <w:pStyle w:val="NoSpacing"/>
        <w:spacing w:before="240" w:after="240"/>
        <w:contextualSpacing/>
        <w:jc w:val="center"/>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vertAlign w:val="superscript"/>
        </w:rPr>
        <w:t/>
      </w:r>
      <w:r w:rsidRPr="00540B7B">
        <w:rPr>
          <w:rFonts w:ascii="Times New Roman" w:hAnsi="Times New Roman" w:cs="Times New Roman"/>
          <w:b/>
          <w:color w:val="000000" w:themeColor="text1"/>
          <w:sz w:val="24"/>
          <w:szCs w:val="24"/>
        </w:rPr>
        <w:t/>
      </w:r>
    </w:p>
    <w:p w14:paraId="50BC013F" w14:textId="3217B17D" w:rsidR="00624BCA" w:rsidRDefault="001761A5" w:rsidP="00540B7B">
      <w:pPr>
        <w:pStyle w:val="NoSpacing"/>
        <w:spacing w:before="240" w:after="240"/>
        <w:contextualSpacing/>
        <w:jc w:val="center"/>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vertAlign w:val="superscript"/>
        </w:rPr>
        <w:t/>
      </w:r>
      <w:r w:rsidR="002922F2" w:rsidRPr="00540B7B">
        <w:rPr>
          <w:rFonts w:ascii="Times New Roman" w:hAnsi="Times New Roman" w:cs="Times New Roman"/>
          <w:b/>
          <w:color w:val="000000" w:themeColor="text1"/>
          <w:sz w:val="24"/>
          <w:szCs w:val="24"/>
        </w:rPr>
        <w:t xml:space="preserve"/>
      </w:r>
      <w:r w:rsidRPr="00540B7B">
        <w:rPr>
          <w:rFonts w:ascii="Times New Roman" w:hAnsi="Times New Roman" w:cs="Times New Roman"/>
          <w:b/>
          <w:color w:val="000000" w:themeColor="text1"/>
          <w:sz w:val="24"/>
          <w:szCs w:val="24"/>
        </w:rPr>
        <w:t/>
      </w:r>
      <w:r w:rsidR="007F62E7">
        <w:rPr>
          <w:rFonts w:ascii="Times New Roman" w:hAnsi="Times New Roman" w:cs="Times New Roman"/>
          <w:b/>
          <w:color w:val="000000" w:themeColor="text1"/>
          <w:sz w:val="24"/>
          <w:szCs w:val="24"/>
        </w:rPr>
        <w:t xml:space="preserve"/>
      </w:r>
    </w:p>
    <w:p w14:paraId="748B615D" w14:textId="26453E41" w:rsidR="00D228EE" w:rsidRDefault="00D228EE" w:rsidP="00540B7B">
      <w:pPr>
        <w:pStyle w:val="NoSpacing"/>
        <w:spacing w:before="240" w:after="240"/>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vertAlign w:val="superscript"/>
        </w:rPr>
        <w:t/>
      </w:r>
      <w:r>
        <w:rPr>
          <w:rFonts w:ascii="Times New Roman" w:hAnsi="Times New Roman" w:cs="Times New Roman"/>
          <w:b/>
          <w:color w:val="000000" w:themeColor="text1"/>
          <w:sz w:val="24"/>
          <w:szCs w:val="24"/>
        </w:rPr>
        <w:t/>
      </w:r>
    </w:p>
    <w:p w14:paraId="3DDA8C59" w14:textId="3EF081EA" w:rsidR="00D228EE" w:rsidRPr="00D228EE" w:rsidRDefault="00D228EE" w:rsidP="00540B7B">
      <w:pPr>
        <w:pStyle w:val="NoSpacing"/>
        <w:spacing w:before="240" w:after="240"/>
        <w:contextualSpacing/>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vertAlign w:val="superscript"/>
        </w:rPr>
        <w:t/>
      </w:r>
      <w:r>
        <w:rPr>
          <w:rFonts w:ascii="Times New Roman" w:hAnsi="Times New Roman" w:cs="Times New Roman"/>
          <w:b/>
          <w:color w:val="000000" w:themeColor="text1"/>
          <w:sz w:val="24"/>
          <w:szCs w:val="24"/>
        </w:rPr>
        <w:t/>
      </w:r>
    </w:p>
    <w:p w14:paraId="56F0F8D8" w14:textId="77777777" w:rsidR="00BE32E0" w:rsidRPr="00540B7B" w:rsidRDefault="00BE32E0" w:rsidP="00540B7B">
      <w:pPr>
        <w:pStyle w:val="NoSpacing"/>
        <w:spacing w:before="240" w:after="240"/>
        <w:contextualSpacing/>
        <w:jc w:val="center"/>
        <w:rPr>
          <w:rFonts w:ascii="Times New Roman" w:hAnsi="Times New Roman" w:cs="Times New Roman"/>
          <w:b/>
          <w:color w:val="000000" w:themeColor="text1"/>
          <w:sz w:val="24"/>
          <w:szCs w:val="24"/>
        </w:rPr>
      </w:pPr>
    </w:p>
    <w:p w14:paraId="321BF086" w14:textId="77777777" w:rsidR="00BE32E0" w:rsidRPr="00540B7B" w:rsidRDefault="00BE32E0" w:rsidP="00540B7B">
      <w:pPr>
        <w:pStyle w:val="NoSpacing"/>
        <w:spacing w:before="240" w:after="240"/>
        <w:contextualSpacing/>
        <w:jc w:val="center"/>
        <w:rPr>
          <w:rFonts w:ascii="Times New Roman" w:hAnsi="Times New Roman" w:cs="Times New Roman"/>
          <w:b/>
          <w:color w:val="000000" w:themeColor="text1"/>
          <w:sz w:val="24"/>
          <w:szCs w:val="24"/>
        </w:rPr>
      </w:pPr>
    </w:p>
    <w:p w14:paraId="585F5C3B" w14:textId="77777777" w:rsidR="005054BF" w:rsidRPr="00540B7B" w:rsidRDefault="005054BF" w:rsidP="00540B7B">
      <w:pPr>
        <w:pStyle w:val="NoSpacing"/>
        <w:spacing w:before="240" w:after="240"/>
        <w:contextualSpacing/>
        <w:jc w:val="center"/>
        <w:rPr>
          <w:rFonts w:ascii="Times New Roman" w:hAnsi="Times New Roman" w:cs="Times New Roman"/>
          <w:b/>
          <w:color w:val="000000" w:themeColor="text1"/>
          <w:sz w:val="24"/>
          <w:szCs w:val="24"/>
        </w:rPr>
      </w:pPr>
    </w:p>
    <w:p w14:paraId="216F5C6F" w14:textId="16EBE035" w:rsidR="00505858" w:rsidRPr="00540B7B" w:rsidRDefault="00505858" w:rsidP="00540B7B">
      <w:pPr>
        <w:pStyle w:val="Default"/>
        <w:spacing w:before="240" w:after="240"/>
        <w:contextualSpacing/>
        <w:rPr>
          <w:rFonts w:ascii="Times New Roman" w:hAnsi="Times New Roman" w:cs="Times New Roman"/>
          <w:b/>
          <w:bCs/>
          <w:color w:val="000000" w:themeColor="text1"/>
          <w:sz w:val="28"/>
          <w:szCs w:val="28"/>
        </w:rPr>
      </w:pPr>
      <w:r w:rsidRPr="00540B7B">
        <w:rPr>
          <w:rFonts w:ascii="Times New Roman" w:hAnsi="Times New Roman" w:cs="Times New Roman"/>
          <w:b/>
          <w:bCs/>
          <w:color w:val="000000" w:themeColor="text1"/>
          <w:sz w:val="28"/>
          <w:szCs w:val="28"/>
        </w:rPr>
        <w:t>ABSTRACT</w:t>
      </w:r>
    </w:p>
    <w:p w14:paraId="220212C6" w14:textId="7008D4C8" w:rsidR="0077661A" w:rsidRPr="00540B7B" w:rsidRDefault="004D6E2D" w:rsidP="00540B7B">
      <w:pPr>
        <w:spacing w:before="240" w:after="240"/>
        <w:contextualSpacing/>
        <w:rPr>
          <w:rFonts w:ascii="Times New Roman" w:eastAsia="Times New Roman" w:hAnsi="Times New Roman" w:cs="Times New Roman"/>
          <w:color w:val="000000" w:themeColor="text1"/>
          <w:sz w:val="24"/>
          <w:szCs w:val="24"/>
          <w:lang w:val="en-PH" w:eastAsia="en-PH"/>
        </w:rPr>
      </w:pPr>
      <w:r w:rsidRPr="00540B7B">
        <w:rPr>
          <w:rFonts w:ascii="Times New Roman" w:eastAsia="Times New Roman" w:hAnsi="Times New Roman" w:cs="Times New Roman"/>
          <w:color w:val="000000" w:themeColor="text1"/>
          <w:sz w:val="24"/>
          <w:szCs w:val="24"/>
          <w:lang w:val="en-PH" w:eastAsia="en-PH"/>
        </w:rPr>
        <w:t xml:space="preserve">This </w:t>
      </w:r>
      <w:r w:rsidR="002922F2" w:rsidRPr="00540B7B">
        <w:rPr>
          <w:rFonts w:ascii="Times New Roman" w:eastAsia="Times New Roman" w:hAnsi="Times New Roman" w:cs="Times New Roman"/>
          <w:color w:val="000000" w:themeColor="text1"/>
          <w:sz w:val="24"/>
          <w:szCs w:val="24"/>
          <w:lang w:val="en-PH" w:eastAsia="en-PH"/>
        </w:rPr>
        <w:t>study</w:t>
      </w:r>
      <w:r w:rsidRPr="00540B7B">
        <w:rPr>
          <w:rFonts w:ascii="Times New Roman" w:eastAsia="Times New Roman" w:hAnsi="Times New Roman" w:cs="Times New Roman"/>
          <w:color w:val="000000" w:themeColor="text1"/>
          <w:sz w:val="24"/>
          <w:szCs w:val="24"/>
          <w:lang w:val="en-PH" w:eastAsia="en-PH"/>
        </w:rPr>
        <w:t xml:space="preserve"> aimed </w:t>
      </w:r>
      <w:r w:rsidR="00923B0A" w:rsidRPr="00540B7B">
        <w:rPr>
          <w:rFonts w:ascii="Times New Roman" w:eastAsia="Times New Roman" w:hAnsi="Times New Roman" w:cs="Times New Roman"/>
          <w:color w:val="000000" w:themeColor="text1"/>
          <w:sz w:val="24"/>
          <w:szCs w:val="24"/>
          <w:lang w:val="en-PH" w:eastAsia="en-PH"/>
        </w:rPr>
        <w:t xml:space="preserve">to </w:t>
      </w:r>
      <w:r w:rsidRPr="00540B7B">
        <w:rPr>
          <w:rFonts w:ascii="Times New Roman" w:eastAsia="Times New Roman" w:hAnsi="Times New Roman" w:cs="Times New Roman"/>
          <w:color w:val="000000" w:themeColor="text1"/>
          <w:sz w:val="24"/>
          <w:szCs w:val="24"/>
          <w:lang w:val="en-PH" w:eastAsia="en-PH"/>
        </w:rPr>
        <w:t>determin</w:t>
      </w:r>
      <w:r w:rsidR="0003241C" w:rsidRPr="00540B7B">
        <w:rPr>
          <w:rFonts w:ascii="Times New Roman" w:eastAsia="Times New Roman" w:hAnsi="Times New Roman" w:cs="Times New Roman"/>
          <w:color w:val="000000" w:themeColor="text1"/>
          <w:sz w:val="24"/>
          <w:szCs w:val="24"/>
          <w:lang w:val="en-PH" w:eastAsia="en-PH"/>
        </w:rPr>
        <w:t>e</w:t>
      </w:r>
      <w:r w:rsidRPr="00540B7B">
        <w:rPr>
          <w:rFonts w:ascii="Times New Roman" w:eastAsia="Times New Roman" w:hAnsi="Times New Roman" w:cs="Times New Roman"/>
          <w:color w:val="000000" w:themeColor="text1"/>
          <w:sz w:val="24"/>
          <w:szCs w:val="24"/>
          <w:lang w:val="en-PH" w:eastAsia="en-PH"/>
        </w:rPr>
        <w:t xml:space="preserve"> the perceived</w:t>
      </w:r>
      <w:r w:rsidR="002922F2" w:rsidRPr="00540B7B">
        <w:rPr>
          <w:rFonts w:ascii="Times New Roman" w:eastAsia="Times New Roman" w:hAnsi="Times New Roman" w:cs="Times New Roman"/>
          <w:color w:val="000000" w:themeColor="text1"/>
          <w:sz w:val="24"/>
          <w:szCs w:val="24"/>
          <w:lang w:val="en-PH" w:eastAsia="en-PH"/>
        </w:rPr>
        <w:t xml:space="preserve"> level of</w:t>
      </w:r>
      <w:r w:rsidR="0003241C" w:rsidRPr="00540B7B">
        <w:rPr>
          <w:rFonts w:ascii="Times New Roman" w:eastAsia="Times New Roman" w:hAnsi="Times New Roman" w:cs="Times New Roman"/>
          <w:color w:val="000000" w:themeColor="text1"/>
          <w:sz w:val="24"/>
          <w:szCs w:val="24"/>
          <w:lang w:val="en-PH" w:eastAsia="en-PH"/>
        </w:rPr>
        <w:t xml:space="preserve"> coping strategies and academic e</w:t>
      </w:r>
      <w:r w:rsidRPr="00540B7B">
        <w:rPr>
          <w:rFonts w:ascii="Times New Roman" w:eastAsia="Times New Roman" w:hAnsi="Times New Roman" w:cs="Times New Roman"/>
          <w:color w:val="000000" w:themeColor="text1"/>
          <w:sz w:val="24"/>
          <w:szCs w:val="24"/>
          <w:lang w:val="en-PH" w:eastAsia="en-PH"/>
        </w:rPr>
        <w:t xml:space="preserve">motion regulation </w:t>
      </w:r>
      <w:r w:rsidR="0003241C" w:rsidRPr="00540B7B">
        <w:rPr>
          <w:rFonts w:ascii="Times New Roman" w:eastAsia="Times New Roman" w:hAnsi="Times New Roman" w:cs="Times New Roman"/>
          <w:color w:val="000000" w:themeColor="text1"/>
          <w:sz w:val="24"/>
          <w:szCs w:val="24"/>
          <w:lang w:val="en-PH" w:eastAsia="en-PH"/>
        </w:rPr>
        <w:t>among</w:t>
      </w:r>
      <w:r w:rsidRPr="00540B7B">
        <w:rPr>
          <w:rFonts w:ascii="Times New Roman" w:eastAsia="Times New Roman" w:hAnsi="Times New Roman" w:cs="Times New Roman"/>
          <w:color w:val="000000" w:themeColor="text1"/>
          <w:sz w:val="24"/>
          <w:szCs w:val="24"/>
          <w:lang w:val="en-PH" w:eastAsia="en-PH"/>
        </w:rPr>
        <w:t xml:space="preserve"> nursing students in private higher education institution in Southern Leyte</w:t>
      </w:r>
      <w:r w:rsidR="00923B0A" w:rsidRPr="00540B7B">
        <w:rPr>
          <w:rFonts w:ascii="Times New Roman" w:eastAsia="Times New Roman" w:hAnsi="Times New Roman" w:cs="Times New Roman"/>
          <w:color w:val="000000" w:themeColor="text1"/>
          <w:sz w:val="24"/>
          <w:szCs w:val="24"/>
          <w:lang w:val="en-PH" w:eastAsia="en-PH"/>
        </w:rPr>
        <w:t>,</w:t>
      </w:r>
      <w:r w:rsidR="002922F2" w:rsidRPr="00540B7B">
        <w:rPr>
          <w:rFonts w:ascii="Times New Roman" w:eastAsia="Times New Roman" w:hAnsi="Times New Roman" w:cs="Times New Roman"/>
          <w:color w:val="000000" w:themeColor="text1"/>
          <w:sz w:val="24"/>
          <w:szCs w:val="24"/>
          <w:lang w:val="en-PH" w:eastAsia="en-PH"/>
        </w:rPr>
        <w:t xml:space="preserve"> Philippines,</w:t>
      </w:r>
      <w:r w:rsidR="00923B0A" w:rsidRPr="00540B7B">
        <w:rPr>
          <w:rFonts w:ascii="Times New Roman" w:eastAsia="Times New Roman" w:hAnsi="Times New Roman" w:cs="Times New Roman"/>
          <w:color w:val="000000" w:themeColor="text1"/>
          <w:sz w:val="24"/>
          <w:szCs w:val="24"/>
          <w:lang w:val="en-PH" w:eastAsia="en-PH"/>
        </w:rPr>
        <w:t xml:space="preserve"> specifically at </w:t>
      </w:r>
      <w:r w:rsidRPr="00540B7B">
        <w:rPr>
          <w:rFonts w:ascii="Times New Roman" w:eastAsia="Times New Roman" w:hAnsi="Times New Roman" w:cs="Times New Roman"/>
          <w:color w:val="000000" w:themeColor="text1"/>
          <w:sz w:val="24"/>
          <w:szCs w:val="24"/>
          <w:lang w:val="en-PH" w:eastAsia="en-PH"/>
        </w:rPr>
        <w:t xml:space="preserve">The College of Maasin, Maasin City, Southern Leyte during the school year 2025-2026. </w:t>
      </w:r>
      <w:r w:rsidR="002922F2" w:rsidRPr="00540B7B">
        <w:rPr>
          <w:rFonts w:ascii="Times New Roman" w:eastAsia="Times New Roman" w:hAnsi="Times New Roman" w:cs="Times New Roman"/>
          <w:color w:val="000000" w:themeColor="text1"/>
          <w:sz w:val="24"/>
          <w:szCs w:val="24"/>
          <w:lang w:val="en-PH" w:eastAsia="en-PH"/>
        </w:rPr>
        <w:t>The study employed</w:t>
      </w:r>
      <w:r w:rsidRPr="00540B7B">
        <w:rPr>
          <w:rFonts w:ascii="Times New Roman" w:eastAsia="Times New Roman" w:hAnsi="Times New Roman" w:cs="Times New Roman"/>
          <w:color w:val="000000" w:themeColor="text1"/>
          <w:sz w:val="24"/>
          <w:szCs w:val="24"/>
          <w:lang w:val="en-PH" w:eastAsia="en-PH"/>
        </w:rPr>
        <w:t xml:space="preserve"> </w:t>
      </w:r>
      <w:r w:rsidR="00923B0A" w:rsidRPr="00540B7B">
        <w:rPr>
          <w:rFonts w:ascii="Times New Roman" w:eastAsia="Times New Roman" w:hAnsi="Times New Roman" w:cs="Times New Roman"/>
          <w:color w:val="000000" w:themeColor="text1"/>
          <w:sz w:val="24"/>
          <w:szCs w:val="24"/>
          <w:lang w:val="en-PH" w:eastAsia="en-PH"/>
        </w:rPr>
        <w:t>a</w:t>
      </w:r>
      <w:r w:rsidRPr="00540B7B">
        <w:rPr>
          <w:rFonts w:ascii="Times New Roman" w:eastAsia="Times New Roman" w:hAnsi="Times New Roman" w:cs="Times New Roman"/>
          <w:color w:val="000000" w:themeColor="text1"/>
          <w:sz w:val="24"/>
          <w:szCs w:val="24"/>
          <w:lang w:val="en-PH" w:eastAsia="en-PH"/>
        </w:rPr>
        <w:t xml:space="preserve"> descriptive</w:t>
      </w:r>
      <w:r w:rsidR="00923B0A" w:rsidRPr="00540B7B">
        <w:rPr>
          <w:rFonts w:ascii="Times New Roman" w:eastAsia="Times New Roman" w:hAnsi="Times New Roman" w:cs="Times New Roman"/>
          <w:color w:val="000000" w:themeColor="text1"/>
          <w:sz w:val="24"/>
          <w:szCs w:val="24"/>
          <w:lang w:val="en-PH" w:eastAsia="en-PH"/>
        </w:rPr>
        <w:t>-</w:t>
      </w:r>
      <w:r w:rsidRPr="00540B7B">
        <w:rPr>
          <w:rFonts w:ascii="Times New Roman" w:eastAsia="Times New Roman" w:hAnsi="Times New Roman" w:cs="Times New Roman"/>
          <w:color w:val="000000" w:themeColor="text1"/>
          <w:sz w:val="24"/>
          <w:szCs w:val="24"/>
          <w:lang w:val="en-PH" w:eastAsia="en-PH"/>
        </w:rPr>
        <w:t xml:space="preserve">correlational </w:t>
      </w:r>
      <w:r w:rsidR="002922F2" w:rsidRPr="00540B7B">
        <w:rPr>
          <w:rFonts w:ascii="Times New Roman" w:eastAsia="Times New Roman" w:hAnsi="Times New Roman" w:cs="Times New Roman"/>
          <w:color w:val="000000" w:themeColor="text1"/>
          <w:sz w:val="24"/>
          <w:szCs w:val="24"/>
          <w:lang w:val="en-PH" w:eastAsia="en-PH"/>
        </w:rPr>
        <w:t xml:space="preserve">research </w:t>
      </w:r>
      <w:r w:rsidRPr="00540B7B">
        <w:rPr>
          <w:rFonts w:ascii="Times New Roman" w:eastAsia="Times New Roman" w:hAnsi="Times New Roman" w:cs="Times New Roman"/>
          <w:color w:val="000000" w:themeColor="text1"/>
          <w:sz w:val="24"/>
          <w:szCs w:val="24"/>
          <w:lang w:val="en-PH" w:eastAsia="en-PH"/>
        </w:rPr>
        <w:t>method</w:t>
      </w:r>
      <w:r w:rsidR="0003241C" w:rsidRPr="00540B7B">
        <w:rPr>
          <w:rFonts w:ascii="Times New Roman" w:eastAsia="Times New Roman" w:hAnsi="Times New Roman" w:cs="Times New Roman"/>
          <w:color w:val="000000" w:themeColor="text1"/>
          <w:sz w:val="24"/>
          <w:szCs w:val="24"/>
          <w:lang w:val="en-PH" w:eastAsia="en-PH"/>
        </w:rPr>
        <w:t xml:space="preserve"> </w:t>
      </w:r>
      <w:r w:rsidR="00923B0A" w:rsidRPr="00540B7B">
        <w:rPr>
          <w:rFonts w:ascii="Times New Roman" w:eastAsia="Times New Roman" w:hAnsi="Times New Roman" w:cs="Times New Roman"/>
          <w:color w:val="000000" w:themeColor="text1"/>
          <w:sz w:val="24"/>
          <w:szCs w:val="24"/>
          <w:lang w:val="en-PH" w:eastAsia="en-PH"/>
        </w:rPr>
        <w:t xml:space="preserve">and </w:t>
      </w:r>
      <w:r w:rsidR="002922F2" w:rsidRPr="00540B7B">
        <w:rPr>
          <w:rFonts w:ascii="Times New Roman" w:eastAsia="Times New Roman" w:hAnsi="Times New Roman" w:cs="Times New Roman"/>
          <w:color w:val="000000" w:themeColor="text1"/>
          <w:sz w:val="24"/>
          <w:szCs w:val="24"/>
          <w:lang w:val="en-PH" w:eastAsia="en-PH"/>
        </w:rPr>
        <w:t>utilized</w:t>
      </w:r>
      <w:r w:rsidR="0003241C" w:rsidRPr="00540B7B">
        <w:rPr>
          <w:rFonts w:ascii="Times New Roman" w:eastAsia="Times New Roman" w:hAnsi="Times New Roman" w:cs="Times New Roman"/>
          <w:color w:val="000000" w:themeColor="text1"/>
          <w:sz w:val="24"/>
          <w:szCs w:val="24"/>
          <w:lang w:val="en-PH" w:eastAsia="en-PH"/>
        </w:rPr>
        <w:t xml:space="preserve"> simple random sampling</w:t>
      </w:r>
      <w:r w:rsidR="00923B0A" w:rsidRPr="00540B7B">
        <w:rPr>
          <w:rFonts w:ascii="Times New Roman" w:eastAsia="Times New Roman" w:hAnsi="Times New Roman" w:cs="Times New Roman"/>
          <w:color w:val="000000" w:themeColor="text1"/>
          <w:sz w:val="24"/>
          <w:szCs w:val="24"/>
          <w:lang w:val="en-PH" w:eastAsia="en-PH"/>
        </w:rPr>
        <w:t xml:space="preserve">. </w:t>
      </w:r>
      <w:r w:rsidR="002922F2" w:rsidRPr="00540B7B">
        <w:rPr>
          <w:rFonts w:ascii="Times New Roman" w:eastAsia="Times New Roman" w:hAnsi="Times New Roman" w:cs="Times New Roman"/>
          <w:color w:val="000000" w:themeColor="text1"/>
          <w:sz w:val="24"/>
          <w:szCs w:val="24"/>
          <w:lang w:val="en-PH" w:eastAsia="en-PH"/>
        </w:rPr>
        <w:t>A total of 306</w:t>
      </w:r>
      <w:r w:rsidR="0003241C" w:rsidRPr="00540B7B">
        <w:rPr>
          <w:rFonts w:ascii="Times New Roman" w:eastAsia="Times New Roman" w:hAnsi="Times New Roman" w:cs="Times New Roman"/>
          <w:color w:val="000000" w:themeColor="text1"/>
          <w:sz w:val="24"/>
          <w:szCs w:val="24"/>
          <w:lang w:val="en-PH" w:eastAsia="en-PH"/>
        </w:rPr>
        <w:t xml:space="preserve"> nursing students from first year to third year </w:t>
      </w:r>
      <w:r w:rsidR="00923B0A" w:rsidRPr="00540B7B">
        <w:rPr>
          <w:rFonts w:ascii="Times New Roman" w:eastAsia="Times New Roman" w:hAnsi="Times New Roman" w:cs="Times New Roman"/>
          <w:color w:val="000000" w:themeColor="text1"/>
          <w:sz w:val="24"/>
          <w:szCs w:val="24"/>
          <w:lang w:val="en-PH" w:eastAsia="en-PH"/>
        </w:rPr>
        <w:t>levels</w:t>
      </w:r>
      <w:r w:rsidR="002922F2" w:rsidRPr="00540B7B">
        <w:rPr>
          <w:rFonts w:ascii="Times New Roman" w:eastAsia="Times New Roman" w:hAnsi="Times New Roman" w:cs="Times New Roman"/>
          <w:color w:val="000000" w:themeColor="text1"/>
          <w:sz w:val="24"/>
          <w:szCs w:val="24"/>
          <w:lang w:val="en-PH" w:eastAsia="en-PH"/>
        </w:rPr>
        <w:t xml:space="preserve"> served as respondents</w:t>
      </w:r>
      <w:r w:rsidR="00923B0A" w:rsidRPr="00540B7B">
        <w:rPr>
          <w:rFonts w:ascii="Times New Roman" w:eastAsia="Times New Roman" w:hAnsi="Times New Roman" w:cs="Times New Roman"/>
          <w:color w:val="000000" w:themeColor="text1"/>
          <w:sz w:val="24"/>
          <w:szCs w:val="24"/>
          <w:lang w:val="en-PH" w:eastAsia="en-PH"/>
        </w:rPr>
        <w:t xml:space="preserve">. </w:t>
      </w:r>
      <w:r w:rsidR="002922F2" w:rsidRPr="00540B7B">
        <w:rPr>
          <w:rFonts w:ascii="Times New Roman" w:eastAsia="Times New Roman" w:hAnsi="Times New Roman" w:cs="Times New Roman"/>
          <w:color w:val="000000" w:themeColor="text1"/>
          <w:sz w:val="24"/>
          <w:szCs w:val="24"/>
          <w:lang w:val="en-PH" w:eastAsia="en-PH"/>
        </w:rPr>
        <w:t>D</w:t>
      </w:r>
      <w:r w:rsidR="00923B0A" w:rsidRPr="00540B7B">
        <w:rPr>
          <w:rFonts w:ascii="Times New Roman" w:eastAsia="Times New Roman" w:hAnsi="Times New Roman" w:cs="Times New Roman"/>
          <w:color w:val="000000" w:themeColor="text1"/>
          <w:sz w:val="24"/>
          <w:szCs w:val="24"/>
          <w:lang w:val="en-PH" w:eastAsia="en-PH"/>
        </w:rPr>
        <w:t>ata were gathered using the</w:t>
      </w:r>
      <w:r w:rsidR="0003241C" w:rsidRPr="00540B7B">
        <w:rPr>
          <w:rFonts w:ascii="Times New Roman" w:eastAsia="Times New Roman" w:hAnsi="Times New Roman" w:cs="Times New Roman"/>
          <w:color w:val="000000" w:themeColor="text1"/>
          <w:sz w:val="24"/>
          <w:szCs w:val="24"/>
          <w:lang w:val="en-PH" w:eastAsia="en-PH"/>
        </w:rPr>
        <w:t xml:space="preserve"> </w:t>
      </w:r>
      <w:r w:rsidR="00791347" w:rsidRPr="00540B7B">
        <w:rPr>
          <w:rFonts w:ascii="Times New Roman" w:eastAsia="Times New Roman" w:hAnsi="Times New Roman" w:cs="Times New Roman"/>
          <w:color w:val="000000" w:themeColor="text1"/>
          <w:sz w:val="24"/>
          <w:szCs w:val="24"/>
          <w:lang w:val="en-PH" w:eastAsia="en-PH"/>
        </w:rPr>
        <w:t>Academic Emotion Regulation Questionnaire and Filipino Coping Strategies Scale. The</w:t>
      </w:r>
      <w:r w:rsidR="002922F2" w:rsidRPr="00540B7B">
        <w:rPr>
          <w:rFonts w:ascii="Times New Roman" w:eastAsia="Times New Roman" w:hAnsi="Times New Roman" w:cs="Times New Roman"/>
          <w:color w:val="000000" w:themeColor="text1"/>
          <w:sz w:val="24"/>
          <w:szCs w:val="24"/>
          <w:lang w:val="en-PH" w:eastAsia="en-PH"/>
        </w:rPr>
        <w:t xml:space="preserve"> collected</w:t>
      </w:r>
      <w:r w:rsidR="00791347" w:rsidRPr="00540B7B">
        <w:rPr>
          <w:rFonts w:ascii="Times New Roman" w:eastAsia="Times New Roman" w:hAnsi="Times New Roman" w:cs="Times New Roman"/>
          <w:color w:val="000000" w:themeColor="text1"/>
          <w:sz w:val="24"/>
          <w:szCs w:val="24"/>
          <w:lang w:val="en-PH" w:eastAsia="en-PH"/>
        </w:rPr>
        <w:t xml:space="preserve"> data w</w:t>
      </w:r>
      <w:r w:rsidR="007F344C" w:rsidRPr="00540B7B">
        <w:rPr>
          <w:rFonts w:ascii="Times New Roman" w:eastAsia="Times New Roman" w:hAnsi="Times New Roman" w:cs="Times New Roman"/>
          <w:color w:val="000000" w:themeColor="text1"/>
          <w:sz w:val="24"/>
          <w:szCs w:val="24"/>
          <w:lang w:val="en-PH" w:eastAsia="en-PH"/>
        </w:rPr>
        <w:t>ere</w:t>
      </w:r>
      <w:r w:rsidR="00791347" w:rsidRPr="00540B7B">
        <w:rPr>
          <w:rFonts w:ascii="Times New Roman" w:eastAsia="Times New Roman" w:hAnsi="Times New Roman" w:cs="Times New Roman"/>
          <w:color w:val="000000" w:themeColor="text1"/>
          <w:sz w:val="24"/>
          <w:szCs w:val="24"/>
          <w:lang w:val="en-PH" w:eastAsia="en-PH"/>
        </w:rPr>
        <w:t xml:space="preserve"> statistically </w:t>
      </w:r>
      <w:r w:rsidR="002922F2" w:rsidRPr="00540B7B">
        <w:rPr>
          <w:rFonts w:ascii="Times New Roman" w:eastAsia="Times New Roman" w:hAnsi="Times New Roman" w:cs="Times New Roman"/>
          <w:color w:val="000000" w:themeColor="text1"/>
          <w:sz w:val="24"/>
          <w:szCs w:val="24"/>
          <w:lang w:val="en-PH" w:eastAsia="en-PH"/>
        </w:rPr>
        <w:t>analyzed</w:t>
      </w:r>
      <w:r w:rsidR="00791347" w:rsidRPr="00540B7B">
        <w:rPr>
          <w:rFonts w:ascii="Times New Roman" w:eastAsia="Times New Roman" w:hAnsi="Times New Roman" w:cs="Times New Roman"/>
          <w:color w:val="000000" w:themeColor="text1"/>
          <w:sz w:val="24"/>
          <w:szCs w:val="24"/>
          <w:lang w:val="en-PH" w:eastAsia="en-PH"/>
        </w:rPr>
        <w:t xml:space="preserve"> using frequency count, percentage, weighted mean, and Person Product-Moment Correlation Coefficient.</w:t>
      </w:r>
      <w:r w:rsidR="006F4C16" w:rsidRPr="00540B7B">
        <w:rPr>
          <w:rFonts w:ascii="Times New Roman" w:eastAsia="Times New Roman" w:hAnsi="Times New Roman" w:cs="Times New Roman"/>
          <w:color w:val="000000" w:themeColor="text1"/>
          <w:sz w:val="24"/>
          <w:szCs w:val="24"/>
          <w:lang w:val="en-PH" w:eastAsia="en-PH"/>
        </w:rPr>
        <w:t xml:space="preserve"> </w:t>
      </w:r>
      <w:r w:rsidRPr="00540B7B">
        <w:rPr>
          <w:rFonts w:ascii="Times New Roman" w:eastAsia="Times New Roman" w:hAnsi="Times New Roman" w:cs="Times New Roman"/>
          <w:color w:val="000000" w:themeColor="text1"/>
          <w:sz w:val="24"/>
          <w:szCs w:val="24"/>
          <w:lang w:val="en-PH" w:eastAsia="en-PH"/>
        </w:rPr>
        <w:t>Results revealed that m</w:t>
      </w:r>
      <w:r w:rsidR="007F344C" w:rsidRPr="00540B7B">
        <w:rPr>
          <w:rFonts w:ascii="Times New Roman" w:eastAsia="Times New Roman" w:hAnsi="Times New Roman" w:cs="Times New Roman"/>
          <w:color w:val="000000" w:themeColor="text1"/>
          <w:sz w:val="24"/>
          <w:szCs w:val="24"/>
          <w:lang w:val="en-PH" w:eastAsia="en-PH"/>
        </w:rPr>
        <w:t>ost</w:t>
      </w:r>
      <w:r w:rsidRPr="00540B7B">
        <w:rPr>
          <w:rFonts w:ascii="Times New Roman" w:eastAsia="Times New Roman" w:hAnsi="Times New Roman" w:cs="Times New Roman"/>
          <w:color w:val="000000" w:themeColor="text1"/>
          <w:sz w:val="24"/>
          <w:szCs w:val="24"/>
          <w:lang w:val="en-PH" w:eastAsia="en-PH"/>
        </w:rPr>
        <w:t xml:space="preserve"> respondents were 18</w:t>
      </w:r>
      <w:r w:rsidR="002922F2" w:rsidRPr="00540B7B">
        <w:rPr>
          <w:rFonts w:ascii="Times New Roman" w:eastAsia="Times New Roman" w:hAnsi="Times New Roman" w:cs="Times New Roman"/>
          <w:color w:val="000000" w:themeColor="text1"/>
          <w:sz w:val="24"/>
          <w:szCs w:val="24"/>
          <w:lang w:val="en-PH" w:eastAsia="en-PH"/>
        </w:rPr>
        <w:t xml:space="preserve"> to </w:t>
      </w:r>
      <w:r w:rsidRPr="00540B7B">
        <w:rPr>
          <w:rFonts w:ascii="Times New Roman" w:eastAsia="Times New Roman" w:hAnsi="Times New Roman" w:cs="Times New Roman"/>
          <w:color w:val="000000" w:themeColor="text1"/>
          <w:sz w:val="24"/>
          <w:szCs w:val="24"/>
          <w:lang w:val="en-PH" w:eastAsia="en-PH"/>
        </w:rPr>
        <w:t>19 years old</w:t>
      </w:r>
      <w:r w:rsidR="007F344C" w:rsidRPr="00540B7B">
        <w:rPr>
          <w:rFonts w:ascii="Times New Roman" w:eastAsia="Times New Roman" w:hAnsi="Times New Roman" w:cs="Times New Roman"/>
          <w:color w:val="000000" w:themeColor="text1"/>
          <w:sz w:val="24"/>
          <w:szCs w:val="24"/>
          <w:lang w:val="en-PH" w:eastAsia="en-PH"/>
        </w:rPr>
        <w:t xml:space="preserve">, </w:t>
      </w:r>
      <w:r w:rsidRPr="00540B7B">
        <w:rPr>
          <w:rFonts w:ascii="Times New Roman" w:eastAsia="Times New Roman" w:hAnsi="Times New Roman" w:cs="Times New Roman"/>
          <w:color w:val="000000" w:themeColor="text1"/>
          <w:sz w:val="24"/>
          <w:szCs w:val="24"/>
          <w:lang w:val="en-PH" w:eastAsia="en-PH"/>
        </w:rPr>
        <w:t>female</w:t>
      </w:r>
      <w:r w:rsidR="007F344C" w:rsidRPr="00540B7B">
        <w:rPr>
          <w:rFonts w:ascii="Times New Roman" w:eastAsia="Times New Roman" w:hAnsi="Times New Roman" w:cs="Times New Roman"/>
          <w:color w:val="000000" w:themeColor="text1"/>
          <w:sz w:val="24"/>
          <w:szCs w:val="24"/>
          <w:lang w:val="en-PH" w:eastAsia="en-PH"/>
        </w:rPr>
        <w:t>, living with complete families, and had an average combined family income</w:t>
      </w:r>
      <w:r w:rsidRPr="00540B7B">
        <w:rPr>
          <w:rFonts w:ascii="Times New Roman" w:eastAsia="Times New Roman" w:hAnsi="Times New Roman" w:cs="Times New Roman"/>
          <w:color w:val="000000" w:themeColor="text1"/>
          <w:sz w:val="24"/>
          <w:szCs w:val="24"/>
          <w:lang w:val="en-PH" w:eastAsia="en-PH"/>
        </w:rPr>
        <w:t xml:space="preserve">. </w:t>
      </w:r>
      <w:r w:rsidR="007F344C" w:rsidRPr="00540B7B">
        <w:rPr>
          <w:rFonts w:ascii="Times New Roman" w:eastAsia="Times New Roman" w:hAnsi="Times New Roman" w:cs="Times New Roman"/>
          <w:color w:val="000000" w:themeColor="text1"/>
          <w:sz w:val="24"/>
          <w:szCs w:val="24"/>
          <w:lang w:val="en-PH" w:eastAsia="en-PH"/>
        </w:rPr>
        <w:t>I</w:t>
      </w:r>
      <w:r w:rsidRPr="00540B7B">
        <w:rPr>
          <w:rFonts w:ascii="Times New Roman" w:eastAsia="Times New Roman" w:hAnsi="Times New Roman" w:cs="Times New Roman"/>
          <w:color w:val="000000" w:themeColor="text1"/>
          <w:sz w:val="24"/>
          <w:szCs w:val="24"/>
          <w:lang w:val="en-PH" w:eastAsia="en-PH"/>
        </w:rPr>
        <w:t xml:space="preserve">n terms of academic emotion regulation, the respondents </w:t>
      </w:r>
      <w:r w:rsidR="007F344C" w:rsidRPr="00540B7B">
        <w:rPr>
          <w:rFonts w:ascii="Times New Roman" w:eastAsia="Times New Roman" w:hAnsi="Times New Roman" w:cs="Times New Roman"/>
          <w:color w:val="000000" w:themeColor="text1"/>
          <w:sz w:val="24"/>
          <w:szCs w:val="24"/>
          <w:lang w:val="en-PH" w:eastAsia="en-PH"/>
        </w:rPr>
        <w:t>showed a</w:t>
      </w:r>
      <w:r w:rsidRPr="00540B7B">
        <w:rPr>
          <w:rFonts w:ascii="Times New Roman" w:eastAsia="Times New Roman" w:hAnsi="Times New Roman" w:cs="Times New Roman"/>
          <w:color w:val="000000" w:themeColor="text1"/>
          <w:sz w:val="24"/>
          <w:szCs w:val="24"/>
          <w:lang w:val="en-PH" w:eastAsia="en-PH"/>
        </w:rPr>
        <w:t xml:space="preserve"> very high level of respiration, high level</w:t>
      </w:r>
      <w:r w:rsidR="007F344C" w:rsidRPr="00540B7B">
        <w:rPr>
          <w:rFonts w:ascii="Times New Roman" w:eastAsia="Times New Roman" w:hAnsi="Times New Roman" w:cs="Times New Roman"/>
          <w:color w:val="000000" w:themeColor="text1"/>
          <w:sz w:val="24"/>
          <w:szCs w:val="24"/>
          <w:lang w:val="en-PH" w:eastAsia="en-PH"/>
        </w:rPr>
        <w:t>s</w:t>
      </w:r>
      <w:r w:rsidRPr="00540B7B">
        <w:rPr>
          <w:rFonts w:ascii="Times New Roman" w:eastAsia="Times New Roman" w:hAnsi="Times New Roman" w:cs="Times New Roman"/>
          <w:color w:val="000000" w:themeColor="text1"/>
          <w:sz w:val="24"/>
          <w:szCs w:val="24"/>
          <w:lang w:val="en-PH" w:eastAsia="en-PH"/>
        </w:rPr>
        <w:t xml:space="preserve"> of developing competencies, suppression, redirecting attention, and reappraisal, </w:t>
      </w:r>
      <w:r w:rsidR="007F344C" w:rsidRPr="00540B7B">
        <w:rPr>
          <w:rFonts w:ascii="Times New Roman" w:eastAsia="Times New Roman" w:hAnsi="Times New Roman" w:cs="Times New Roman"/>
          <w:color w:val="000000" w:themeColor="text1"/>
          <w:sz w:val="24"/>
          <w:szCs w:val="24"/>
          <w:lang w:val="en-PH" w:eastAsia="en-PH"/>
        </w:rPr>
        <w:t xml:space="preserve">a </w:t>
      </w:r>
      <w:r w:rsidRPr="00540B7B">
        <w:rPr>
          <w:rFonts w:ascii="Times New Roman" w:eastAsia="Times New Roman" w:hAnsi="Times New Roman" w:cs="Times New Roman"/>
          <w:color w:val="000000" w:themeColor="text1"/>
          <w:sz w:val="24"/>
          <w:szCs w:val="24"/>
          <w:lang w:val="en-PH" w:eastAsia="en-PH"/>
        </w:rPr>
        <w:t>moderate level of seeking social support, and very low level</w:t>
      </w:r>
      <w:r w:rsidR="007F344C" w:rsidRPr="00540B7B">
        <w:rPr>
          <w:rFonts w:ascii="Times New Roman" w:eastAsia="Times New Roman" w:hAnsi="Times New Roman" w:cs="Times New Roman"/>
          <w:color w:val="000000" w:themeColor="text1"/>
          <w:sz w:val="24"/>
          <w:szCs w:val="24"/>
          <w:lang w:val="en-PH" w:eastAsia="en-PH"/>
        </w:rPr>
        <w:t>s</w:t>
      </w:r>
      <w:r w:rsidRPr="00540B7B">
        <w:rPr>
          <w:rFonts w:ascii="Times New Roman" w:eastAsia="Times New Roman" w:hAnsi="Times New Roman" w:cs="Times New Roman"/>
          <w:color w:val="000000" w:themeColor="text1"/>
          <w:sz w:val="24"/>
          <w:szCs w:val="24"/>
          <w:lang w:val="en-PH" w:eastAsia="en-PH"/>
        </w:rPr>
        <w:t xml:space="preserve"> of avoiding situations and venting.</w:t>
      </w:r>
      <w:r w:rsidRPr="00540B7B">
        <w:rPr>
          <w:rFonts w:ascii="Times New Roman" w:hAnsi="Times New Roman" w:cs="Times New Roman"/>
          <w:color w:val="000000" w:themeColor="text1"/>
          <w:sz w:val="24"/>
          <w:szCs w:val="24"/>
        </w:rPr>
        <w:t xml:space="preserve"> </w:t>
      </w:r>
      <w:r w:rsidR="007F344C" w:rsidRPr="00540B7B">
        <w:rPr>
          <w:rFonts w:ascii="Times New Roman" w:eastAsia="Times New Roman" w:hAnsi="Times New Roman" w:cs="Times New Roman"/>
          <w:color w:val="000000" w:themeColor="text1"/>
          <w:sz w:val="24"/>
          <w:szCs w:val="24"/>
          <w:lang w:val="en-PH" w:eastAsia="en-PH"/>
        </w:rPr>
        <w:t>R</w:t>
      </w:r>
      <w:r w:rsidRPr="00540B7B">
        <w:rPr>
          <w:rFonts w:ascii="Times New Roman" w:eastAsia="Times New Roman" w:hAnsi="Times New Roman" w:cs="Times New Roman"/>
          <w:color w:val="000000" w:themeColor="text1"/>
          <w:sz w:val="24"/>
          <w:szCs w:val="24"/>
          <w:lang w:val="en-PH" w:eastAsia="en-PH"/>
        </w:rPr>
        <w:t>egard</w:t>
      </w:r>
      <w:r w:rsidR="007F344C" w:rsidRPr="00540B7B">
        <w:rPr>
          <w:rFonts w:ascii="Times New Roman" w:eastAsia="Times New Roman" w:hAnsi="Times New Roman" w:cs="Times New Roman"/>
          <w:color w:val="000000" w:themeColor="text1"/>
          <w:sz w:val="24"/>
          <w:szCs w:val="24"/>
          <w:lang w:val="en-PH" w:eastAsia="en-PH"/>
        </w:rPr>
        <w:t xml:space="preserve">ing </w:t>
      </w:r>
      <w:r w:rsidRPr="00540B7B">
        <w:rPr>
          <w:rFonts w:ascii="Times New Roman" w:eastAsia="Times New Roman" w:hAnsi="Times New Roman" w:cs="Times New Roman"/>
          <w:color w:val="000000" w:themeColor="text1"/>
          <w:sz w:val="24"/>
          <w:szCs w:val="24"/>
          <w:lang w:val="en-PH" w:eastAsia="en-PH"/>
        </w:rPr>
        <w:t>coping strategies, the</w:t>
      </w:r>
      <w:r w:rsidR="007F344C" w:rsidRPr="00540B7B">
        <w:rPr>
          <w:rFonts w:ascii="Times New Roman" w:eastAsia="Times New Roman" w:hAnsi="Times New Roman" w:cs="Times New Roman"/>
          <w:color w:val="000000" w:themeColor="text1"/>
          <w:sz w:val="24"/>
          <w:szCs w:val="24"/>
          <w:lang w:val="en-PH" w:eastAsia="en-PH"/>
        </w:rPr>
        <w:t>y showed</w:t>
      </w:r>
      <w:r w:rsidRPr="00540B7B">
        <w:rPr>
          <w:rFonts w:ascii="Times New Roman" w:eastAsia="Times New Roman" w:hAnsi="Times New Roman" w:cs="Times New Roman"/>
          <w:color w:val="000000" w:themeColor="text1"/>
          <w:sz w:val="24"/>
          <w:szCs w:val="24"/>
          <w:lang w:val="en-PH" w:eastAsia="en-PH"/>
        </w:rPr>
        <w:t xml:space="preserve"> very high</w:t>
      </w:r>
      <w:r w:rsidR="007F344C" w:rsidRPr="00540B7B">
        <w:rPr>
          <w:rFonts w:ascii="Times New Roman" w:eastAsia="Times New Roman" w:hAnsi="Times New Roman" w:cs="Times New Roman"/>
          <w:color w:val="000000" w:themeColor="text1"/>
          <w:sz w:val="24"/>
          <w:szCs w:val="24"/>
          <w:lang w:val="en-PH" w:eastAsia="en-PH"/>
        </w:rPr>
        <w:t xml:space="preserve"> </w:t>
      </w:r>
      <w:r w:rsidRPr="00540B7B">
        <w:rPr>
          <w:rFonts w:ascii="Times New Roman" w:eastAsia="Times New Roman" w:hAnsi="Times New Roman" w:cs="Times New Roman"/>
          <w:color w:val="000000" w:themeColor="text1"/>
          <w:sz w:val="24"/>
          <w:szCs w:val="24"/>
          <w:lang w:val="en-PH" w:eastAsia="en-PH"/>
        </w:rPr>
        <w:t xml:space="preserve">level </w:t>
      </w:r>
      <w:r w:rsidR="007F344C" w:rsidRPr="00540B7B">
        <w:rPr>
          <w:rFonts w:ascii="Times New Roman" w:eastAsia="Times New Roman" w:hAnsi="Times New Roman" w:cs="Times New Roman"/>
          <w:color w:val="000000" w:themeColor="text1"/>
          <w:sz w:val="24"/>
          <w:szCs w:val="24"/>
          <w:lang w:val="en-PH" w:eastAsia="en-PH"/>
        </w:rPr>
        <w:t xml:space="preserve">of </w:t>
      </w:r>
      <w:r w:rsidRPr="00540B7B">
        <w:rPr>
          <w:rFonts w:ascii="Times New Roman" w:eastAsia="Times New Roman" w:hAnsi="Times New Roman" w:cs="Times New Roman"/>
          <w:color w:val="000000" w:themeColor="text1"/>
          <w:sz w:val="24"/>
          <w:szCs w:val="24"/>
          <w:lang w:val="en-PH" w:eastAsia="en-PH"/>
        </w:rPr>
        <w:t>religiosity and problem-solving, high level</w:t>
      </w:r>
      <w:r w:rsidR="007F344C" w:rsidRPr="00540B7B">
        <w:rPr>
          <w:rFonts w:ascii="Times New Roman" w:eastAsia="Times New Roman" w:hAnsi="Times New Roman" w:cs="Times New Roman"/>
          <w:color w:val="000000" w:themeColor="text1"/>
          <w:sz w:val="24"/>
          <w:szCs w:val="24"/>
          <w:lang w:val="en-PH" w:eastAsia="en-PH"/>
        </w:rPr>
        <w:t>s</w:t>
      </w:r>
      <w:r w:rsidRPr="00540B7B">
        <w:rPr>
          <w:rFonts w:ascii="Times New Roman" w:eastAsia="Times New Roman" w:hAnsi="Times New Roman" w:cs="Times New Roman"/>
          <w:color w:val="000000" w:themeColor="text1"/>
          <w:sz w:val="24"/>
          <w:szCs w:val="24"/>
          <w:lang w:val="en-PH" w:eastAsia="en-PH"/>
        </w:rPr>
        <w:t xml:space="preserve"> of relaxation, cognitive reappraisal, tolerance, social support, and overactivity, and low level of emotional release</w:t>
      </w:r>
      <w:r w:rsidR="007F344C" w:rsidRPr="00540B7B">
        <w:rPr>
          <w:rFonts w:ascii="Times New Roman" w:eastAsia="Times New Roman" w:hAnsi="Times New Roman" w:cs="Times New Roman"/>
          <w:color w:val="000000" w:themeColor="text1"/>
          <w:sz w:val="24"/>
          <w:szCs w:val="24"/>
          <w:lang w:val="en-PH" w:eastAsia="en-PH"/>
        </w:rPr>
        <w:t>,</w:t>
      </w:r>
      <w:r w:rsidRPr="00540B7B">
        <w:rPr>
          <w:rFonts w:ascii="Times New Roman" w:eastAsia="Times New Roman" w:hAnsi="Times New Roman" w:cs="Times New Roman"/>
          <w:color w:val="000000" w:themeColor="text1"/>
          <w:sz w:val="24"/>
          <w:szCs w:val="24"/>
          <w:lang w:val="en-PH" w:eastAsia="en-PH"/>
        </w:rPr>
        <w:t xml:space="preserve"> and</w:t>
      </w:r>
      <w:r w:rsidR="007F344C" w:rsidRPr="00540B7B">
        <w:rPr>
          <w:rFonts w:ascii="Times New Roman" w:eastAsia="Times New Roman" w:hAnsi="Times New Roman" w:cs="Times New Roman"/>
          <w:color w:val="000000" w:themeColor="text1"/>
          <w:sz w:val="24"/>
          <w:szCs w:val="24"/>
          <w:lang w:val="en-PH" w:eastAsia="en-PH"/>
        </w:rPr>
        <w:t xml:space="preserve"> a</w:t>
      </w:r>
      <w:r w:rsidRPr="00540B7B">
        <w:rPr>
          <w:rFonts w:ascii="Times New Roman" w:eastAsia="Times New Roman" w:hAnsi="Times New Roman" w:cs="Times New Roman"/>
          <w:color w:val="000000" w:themeColor="text1"/>
          <w:sz w:val="24"/>
          <w:szCs w:val="24"/>
          <w:lang w:val="en-PH" w:eastAsia="en-PH"/>
        </w:rPr>
        <w:t xml:space="preserve"> very lo</w:t>
      </w:r>
      <w:r w:rsidR="007F344C" w:rsidRPr="00540B7B">
        <w:rPr>
          <w:rFonts w:ascii="Times New Roman" w:eastAsia="Times New Roman" w:hAnsi="Times New Roman" w:cs="Times New Roman"/>
          <w:color w:val="000000" w:themeColor="text1"/>
          <w:sz w:val="24"/>
          <w:szCs w:val="24"/>
          <w:lang w:val="en-PH" w:eastAsia="en-PH"/>
        </w:rPr>
        <w:t>w</w:t>
      </w:r>
      <w:r w:rsidRPr="00540B7B">
        <w:rPr>
          <w:rFonts w:ascii="Times New Roman" w:eastAsia="Times New Roman" w:hAnsi="Times New Roman" w:cs="Times New Roman"/>
          <w:color w:val="000000" w:themeColor="text1"/>
          <w:sz w:val="24"/>
          <w:szCs w:val="24"/>
          <w:lang w:val="en-PH" w:eastAsia="en-PH"/>
        </w:rPr>
        <w:t xml:space="preserve"> level of substance use. </w:t>
      </w:r>
      <w:r w:rsidR="007F344C" w:rsidRPr="00540B7B">
        <w:rPr>
          <w:rFonts w:ascii="Times New Roman" w:eastAsia="Times New Roman" w:hAnsi="Times New Roman" w:cs="Times New Roman"/>
          <w:color w:val="000000" w:themeColor="text1"/>
          <w:sz w:val="24"/>
          <w:szCs w:val="24"/>
          <w:lang w:val="en-PH" w:eastAsia="en-PH"/>
        </w:rPr>
        <w:t xml:space="preserve">The correlation test revealed </w:t>
      </w:r>
      <w:r w:rsidRPr="00540B7B">
        <w:rPr>
          <w:rFonts w:ascii="Times New Roman" w:eastAsia="Times New Roman" w:hAnsi="Times New Roman" w:cs="Times New Roman"/>
          <w:color w:val="000000" w:themeColor="text1"/>
          <w:sz w:val="24"/>
          <w:szCs w:val="24"/>
          <w:lang w:val="en-PH" w:eastAsia="en-PH"/>
        </w:rPr>
        <w:t>that the academic emotion regulation</w:t>
      </w:r>
      <w:r w:rsidR="007F344C" w:rsidRPr="00540B7B">
        <w:rPr>
          <w:rFonts w:ascii="Times New Roman" w:eastAsia="Times New Roman" w:hAnsi="Times New Roman" w:cs="Times New Roman"/>
          <w:color w:val="000000" w:themeColor="text1"/>
          <w:sz w:val="24"/>
          <w:szCs w:val="24"/>
          <w:lang w:val="en-PH" w:eastAsia="en-PH"/>
        </w:rPr>
        <w:t xml:space="preserve"> was not</w:t>
      </w:r>
      <w:r w:rsidRPr="00540B7B">
        <w:rPr>
          <w:rFonts w:ascii="Times New Roman" w:eastAsia="Times New Roman" w:hAnsi="Times New Roman" w:cs="Times New Roman"/>
          <w:color w:val="000000" w:themeColor="text1"/>
          <w:sz w:val="24"/>
          <w:szCs w:val="24"/>
          <w:lang w:val="en-PH" w:eastAsia="en-PH"/>
        </w:rPr>
        <w:t xml:space="preserve"> significantly related to coping strategies. </w:t>
      </w:r>
      <w:r w:rsidR="007F344C" w:rsidRPr="00540B7B">
        <w:rPr>
          <w:rFonts w:ascii="Times New Roman" w:eastAsia="Times New Roman" w:hAnsi="Times New Roman" w:cs="Times New Roman"/>
          <w:color w:val="000000" w:themeColor="text1"/>
          <w:sz w:val="24"/>
          <w:szCs w:val="24"/>
          <w:lang w:val="en-PH" w:eastAsia="en-PH"/>
        </w:rPr>
        <w:t>The study concludes that nursing students demonstrated generally a positive academic emotion regulation and coping strategies</w:t>
      </w:r>
      <w:r w:rsidR="00456870" w:rsidRPr="00540B7B">
        <w:rPr>
          <w:rFonts w:ascii="Times New Roman" w:eastAsia="Times New Roman" w:hAnsi="Times New Roman" w:cs="Times New Roman"/>
          <w:color w:val="000000" w:themeColor="text1"/>
          <w:sz w:val="24"/>
          <w:szCs w:val="24"/>
          <w:lang w:val="en-PH" w:eastAsia="en-PH"/>
        </w:rPr>
        <w:t xml:space="preserve">, </w:t>
      </w:r>
      <w:r w:rsidR="006F4C16" w:rsidRPr="00540B7B">
        <w:rPr>
          <w:rFonts w:ascii="Times New Roman" w:eastAsia="Times New Roman" w:hAnsi="Times New Roman" w:cs="Times New Roman"/>
          <w:color w:val="000000" w:themeColor="text1"/>
          <w:sz w:val="24"/>
          <w:szCs w:val="24"/>
          <w:lang w:val="en-PH" w:eastAsia="en-PH"/>
        </w:rPr>
        <w:t>despite the absence of a significant relationship between the two variables</w:t>
      </w:r>
      <w:r w:rsidR="00456870" w:rsidRPr="00540B7B">
        <w:rPr>
          <w:rFonts w:ascii="Times New Roman" w:eastAsia="Times New Roman" w:hAnsi="Times New Roman" w:cs="Times New Roman"/>
          <w:color w:val="000000" w:themeColor="text1"/>
          <w:sz w:val="24"/>
          <w:szCs w:val="24"/>
          <w:lang w:val="en-PH" w:eastAsia="en-PH"/>
        </w:rPr>
        <w:t xml:space="preserve">. </w:t>
      </w:r>
      <w:r w:rsidR="006F4C16" w:rsidRPr="00540B7B">
        <w:rPr>
          <w:rFonts w:ascii="Times New Roman" w:eastAsia="Times New Roman" w:hAnsi="Times New Roman" w:cs="Times New Roman"/>
          <w:color w:val="000000" w:themeColor="text1"/>
          <w:sz w:val="24"/>
          <w:szCs w:val="24"/>
          <w:lang w:val="en-PH" w:eastAsia="en-PH"/>
        </w:rPr>
        <w:t>Based on the findings, the adoption of an Academic Emotion Regulation and Coping Enhancement Program is recommended to further strengthen students’ emotional management and coping abilities.</w:t>
      </w:r>
    </w:p>
    <w:p w14:paraId="3601ED36" w14:textId="3DC83AA9" w:rsidR="0019728E" w:rsidRPr="00540B7B" w:rsidRDefault="00791347" w:rsidP="00540B7B">
      <w:pPr>
        <w:spacing w:before="240" w:after="240"/>
        <w:contextualSpacing/>
        <w:jc w:val="center"/>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rPr>
        <w:t xml:space="preserve"> </w:t>
      </w:r>
    </w:p>
    <w:p w14:paraId="363FD513" w14:textId="23B8C57C" w:rsidR="00791347" w:rsidRPr="00540B7B" w:rsidRDefault="00791347" w:rsidP="00540B7B">
      <w:pPr>
        <w:spacing w:before="240" w:after="240"/>
        <w:ind w:left="1440" w:hanging="1440"/>
        <w:contextualSpacing/>
        <w:rPr>
          <w:rFonts w:ascii="Times New Roman" w:hAnsi="Times New Roman" w:cs="Times New Roman"/>
          <w:color w:val="000000" w:themeColor="text1"/>
          <w:sz w:val="24"/>
          <w:szCs w:val="24"/>
        </w:rPr>
      </w:pPr>
      <w:r w:rsidRPr="00540B7B">
        <w:rPr>
          <w:rFonts w:ascii="Times New Roman" w:hAnsi="Times New Roman" w:cs="Times New Roman"/>
          <w:b/>
          <w:bCs/>
          <w:color w:val="000000" w:themeColor="text1"/>
          <w:sz w:val="24"/>
          <w:szCs w:val="24"/>
        </w:rPr>
        <w:t>Keywords:</w:t>
      </w:r>
      <w:r w:rsidRPr="00540B7B">
        <w:rPr>
          <w:rFonts w:ascii="Times New Roman" w:hAnsi="Times New Roman" w:cs="Times New Roman"/>
          <w:color w:val="000000" w:themeColor="text1"/>
          <w:sz w:val="24"/>
          <w:szCs w:val="24"/>
        </w:rPr>
        <w:tab/>
        <w:t>Guidance and Counseling, Academic Emotion Regulation, Coping Strategies, Descriptive-Correlation</w:t>
      </w:r>
      <w:r w:rsidR="00DB390D" w:rsidRPr="00540B7B">
        <w:rPr>
          <w:rFonts w:ascii="Times New Roman" w:hAnsi="Times New Roman" w:cs="Times New Roman"/>
          <w:color w:val="000000" w:themeColor="text1"/>
          <w:sz w:val="24"/>
          <w:szCs w:val="24"/>
        </w:rPr>
        <w:t>al Method</w:t>
      </w:r>
      <w:r w:rsidRPr="00540B7B">
        <w:rPr>
          <w:rFonts w:ascii="Times New Roman" w:hAnsi="Times New Roman" w:cs="Times New Roman"/>
          <w:color w:val="000000" w:themeColor="text1"/>
          <w:sz w:val="24"/>
          <w:szCs w:val="24"/>
        </w:rPr>
        <w:t xml:space="preserve">, </w:t>
      </w:r>
      <w:r w:rsidR="002E334E" w:rsidRPr="00540B7B">
        <w:rPr>
          <w:rFonts w:ascii="Times New Roman" w:hAnsi="Times New Roman" w:cs="Times New Roman"/>
          <w:color w:val="000000" w:themeColor="text1"/>
          <w:sz w:val="24"/>
          <w:szCs w:val="24"/>
        </w:rPr>
        <w:t>The College of Maasin</w:t>
      </w:r>
    </w:p>
    <w:p w14:paraId="027CDFD2" w14:textId="77777777" w:rsidR="002E334E" w:rsidRPr="00540B7B" w:rsidRDefault="002E334E" w:rsidP="00540B7B">
      <w:pPr>
        <w:spacing w:before="240" w:after="240"/>
        <w:ind w:left="1440" w:hanging="1440"/>
        <w:contextualSpacing/>
        <w:rPr>
          <w:rFonts w:ascii="Times New Roman" w:hAnsi="Times New Roman" w:cs="Times New Roman"/>
          <w:color w:val="000000" w:themeColor="text1"/>
          <w:sz w:val="24"/>
          <w:szCs w:val="24"/>
        </w:rPr>
      </w:pPr>
    </w:p>
    <w:p w14:paraId="1855D97E" w14:textId="77777777" w:rsidR="00374C17" w:rsidRPr="00540B7B" w:rsidRDefault="00184D9B" w:rsidP="00540B7B">
      <w:pPr>
        <w:spacing w:before="240" w:after="240"/>
        <w:jc w:val="left"/>
        <w:rPr>
          <w:rFonts w:ascii="Times New Roman" w:hAnsi="Times New Roman" w:cs="Times New Roman"/>
          <w:b/>
          <w:color w:val="000000" w:themeColor="text1"/>
          <w:sz w:val="28"/>
          <w:szCs w:val="28"/>
        </w:rPr>
      </w:pPr>
      <w:r w:rsidRPr="00540B7B">
        <w:rPr>
          <w:rFonts w:ascii="Times New Roman" w:hAnsi="Times New Roman" w:cs="Times New Roman"/>
          <w:b/>
          <w:color w:val="000000" w:themeColor="text1"/>
          <w:sz w:val="28"/>
          <w:szCs w:val="28"/>
        </w:rPr>
        <w:t>INTRODUCTION</w:t>
      </w:r>
    </w:p>
    <w:p w14:paraId="130E45E6" w14:textId="77777777" w:rsidR="00374C17" w:rsidRPr="00540B7B" w:rsidRDefault="00CF4564" w:rsidP="00540B7B">
      <w:pPr>
        <w:spacing w:before="240" w:after="240"/>
        <w:rPr>
          <w:rStyle w:val="Strong"/>
          <w:rFonts w:ascii="Times New Roman" w:hAnsi="Times New Roman" w:cs="Times New Roman"/>
          <w:b w:val="0"/>
          <w:bCs w:val="0"/>
          <w:color w:val="000000" w:themeColor="text1"/>
          <w:sz w:val="24"/>
          <w:szCs w:val="24"/>
        </w:rPr>
      </w:pPr>
      <w:r w:rsidRPr="00540B7B">
        <w:rPr>
          <w:rStyle w:val="Strong"/>
          <w:rFonts w:ascii="Times New Roman" w:hAnsi="Times New Roman" w:cs="Times New Roman"/>
          <w:b w:val="0"/>
          <w:bCs w:val="0"/>
          <w:color w:val="000000" w:themeColor="text1"/>
          <w:sz w:val="24"/>
          <w:szCs w:val="24"/>
        </w:rPr>
        <w:t>Nursing education is a demanding academic program that requires students to meet both classroom and clinical expectations. Nursing students are expected to study complex concepts, pass examinations, perform return demonstrations, complete clinical duties, and interact with patients in actual healthcare settings. Because of these responsibilities, they are often exposed to academic pressure, emotional stress, and clinical challenges that may affect their learning experience, well-being, and preparation for future nursing practice.</w:t>
      </w:r>
    </w:p>
    <w:p w14:paraId="72BBF1EE" w14:textId="4496FF61" w:rsidR="00374C17" w:rsidRPr="00540B7B" w:rsidRDefault="00CF4564" w:rsidP="00540B7B">
      <w:pPr>
        <w:spacing w:before="240" w:after="240"/>
        <w:rPr>
          <w:rStyle w:val="Strong"/>
          <w:rFonts w:ascii="Times New Roman" w:hAnsi="Times New Roman" w:cs="Times New Roman"/>
          <w:b w:val="0"/>
          <w:bCs w:val="0"/>
          <w:color w:val="000000" w:themeColor="text1"/>
          <w:sz w:val="24"/>
          <w:szCs w:val="24"/>
        </w:rPr>
      </w:pPr>
      <w:r w:rsidRPr="00540B7B">
        <w:rPr>
          <w:rStyle w:val="Strong"/>
          <w:rFonts w:ascii="Times New Roman" w:hAnsi="Times New Roman" w:cs="Times New Roman"/>
          <w:b w:val="0"/>
          <w:bCs w:val="0"/>
          <w:color w:val="000000" w:themeColor="text1"/>
          <w:sz w:val="24"/>
          <w:szCs w:val="24"/>
        </w:rPr>
        <w:t xml:space="preserve">In higher education, students are expected to adjust to academic demands while maintaining emotional stability and motivation. This becomes more challenging in nursing programs because students are not only evaluated through written outputs and examinations but also through their ability to perform clinical skills and demonstrate </w:t>
      </w:r>
      <w:r w:rsidRPr="00540B7B">
        <w:rPr>
          <w:rStyle w:val="Strong"/>
          <w:rFonts w:ascii="Times New Roman" w:hAnsi="Times New Roman" w:cs="Times New Roman"/>
          <w:b w:val="0"/>
          <w:bCs w:val="0"/>
          <w:color w:val="000000" w:themeColor="text1"/>
          <w:sz w:val="24"/>
          <w:szCs w:val="24"/>
        </w:rPr>
        <w:lastRenderedPageBreak/>
        <w:t>professional behavior. The pressure to meet these expectations may cause stress, anxiety, fear of failure, and difficulty in handling academic-related emotions. Studies have shown that stress and emotional challenges are common concerns among nursing students, especially because of the demanding nature of their academic and clinical training</w:t>
      </w:r>
      <w:r w:rsidR="00F32ED1">
        <w:rPr>
          <w:rStyle w:val="Strong"/>
          <w:rFonts w:ascii="Times New Roman" w:hAnsi="Times New Roman" w:cs="Times New Roman"/>
          <w:b w:val="0"/>
          <w:bCs w:val="0"/>
          <w:color w:val="000000" w:themeColor="text1"/>
          <w:sz w:val="24"/>
          <w:szCs w:val="24"/>
        </w:rPr>
        <w:t xml:space="preserve"> </w:t>
      </w:r>
      <w:r w:rsidR="005F05A6" w:rsidRPr="00540B7B">
        <w:rPr>
          <w:rStyle w:val="Strong"/>
          <w:rFonts w:ascii="Times New Roman" w:hAnsi="Times New Roman" w:cs="Times New Roman"/>
          <w:b w:val="0"/>
          <w:bCs w:val="0"/>
          <w:color w:val="000000" w:themeColor="text1"/>
          <w:sz w:val="24"/>
          <w:szCs w:val="24"/>
        </w:rPr>
        <w:t xml:space="preserve"> </w:t>
      </w:r>
      <w:r w:rsidR="005F05A6" w:rsidRPr="00540B7B">
        <w:rPr>
          <w:rStyle w:val="Strong"/>
          <w:rFonts w:ascii="Times New Roman" w:hAnsi="Times New Roman" w:cs="Times New Roman"/>
          <w:b w:val="0"/>
          <w:bCs w:val="0"/>
          <w:color w:val="000000" w:themeColor="text1"/>
          <w:sz w:val="24"/>
          <w:szCs w:val="24"/>
        </w:rPr>
        <w:fldChar w:fldCharType="begin" w:fldLock="1"/>
      </w:r>
      <w:r w:rsidR="005F05A6" w:rsidRPr="00540B7B">
        <w:rPr>
          <w:rStyle w:val="Strong"/>
          <w:rFonts w:ascii="Times New Roman" w:hAnsi="Times New Roman" w:cs="Times New Roman"/>
          <w:b w:val="0"/>
          <w:bCs w:val="0"/>
          <w:color w:val="000000" w:themeColor="text1"/>
          <w:sz w:val="24"/>
          <w:szCs w:val="24"/>
        </w:rPr>
        <w:instrText>ADDIN CSL_CITATION {"citationItems":[{"id":"ITEM-1","itemData":{"DOI":"10.1002/nop2.2167","ISSN":"20541058","PMID":"38687822","abstract":"Aim: To assess the mediating role of emotion regulation and emotional intelligence in the relationship between stress and academic engagement among Saudi undergraduate nursing students. Design: This study employed a quantitative cross-sectional research design. Methods: The study recruited 367 Saudi undergraduate nursing students at a major Saudi university. Structural equation modelling was used to explore the mediational model. Results: The results of the ANOVA and Welch F-test demonstrated that the emotional intelligence, emotional regulation and academic engagement scores were statistically significantly different according to stress levels (p-values &lt;0.01). Perceived stress has a statistically significant moderate negative correlation with academic engagement and emotional intelligence and a strong negative correlation with emotional regulation. The results also showed that academic engagement had a statistically significant moderate positive association with emotional intelligence and emotional regulation. Results indicate that stress and academic engagement are negatively correlated among Saudi undergraduate nursing students. It focuses on the balancing functions of emotional regulation and emotional intelligence, highlighting their ability to lower stress levels and improve academic engagement. No Patient or Public Contribution.","author":[{"dropping-particle":"","family":"Alkharj","given":"Sarah","non-dropping-particle":"","parse-names":false,"suffix":""},{"dropping-particle":"","family":"Alsalamah","given":"Yasir S.","non-dropping-particle":"","parse-names":false,"suffix":""},{"dropping-particle":"","family":"Allari","given":"Rabia","non-dropping-particle":"","parse-names":false,"suffix":""},{"dropping-particle":"","family":"Alharbi","given":"Maryam Saad","non-dropping-particle":"","parse-names":false,"suffix":""},{"dropping-particle":"","family":"Alslamah","given":"Thamer","non-dropping-particle":"","parse-names":false,"suffix":""},{"dropping-particle":"","family":"Babkair","given":"Lisa","non-dropping-particle":"","parse-names":false,"suffix":""},{"dropping-particle":"","family":"Labani","given":"Safiah","non-dropping-particle":"","parse-names":false,"suffix":""},{"dropping-particle":"","family":"Fawaz","given":"Mirna","non-dropping-particle":"","parse-names":false,"suffix":""}],"container-title":"Nursing Open","id":"ITEM-1","issue":"5","issued":{"date-parts":[["2024"]]},"page":"1-12","title":"Stress and academic engagement among Saudi undergraduate nursing students: The mediating role of emotion regulation and emotional intelligence","type":"article-journal","volume":"11"},"uris":["http://www.mendeley.com/documents/?uuid=e92b01aa-4dd0-4e4a-96a5-88d48c8f4e7d"]},{"id":"ITEM-2","itemData":{"DOI":"10.1186/s12912-025-04029-1","ISSN":"14726955","abstract":"Background: Nursing students often face psychological challenges such as anxiety, depression, and stress, especially when they start their clinical training. These challenges can impair their emotional adjustment and increase psychological distress. Emotional regulation programs may help reduce these negative effects. Therefore, this study aimed to evaluate the effect of an emotional regulation program on emotional adjustment and psychological distress among undergraduate nursing students. Methods: This experimental study used a pre-test/post-test design with both an intervention and a control group. A total of 72 fifth-semester nursing students from Razi School of Nursing, Kerman, were recruited using convenience sampling and randomly assigned to the intervention (n = 36) or control (n = 36) group using a lottery method. The intervention group participated in eight sessions of the Gross model-based emotional regulation training. Both groups completed the Emotional Adjustment Measure (EAM) and the Kessler Psychological Distress Scale (K-10) before and one month after the intervention. Results: An ANCOVA analysis showed that the intervention group had significantly higher emotional adjustment and significantly lower psychological distress at post-test compared to the control group (p &lt; 0.001). These findings remained significant even after controlling for baseline scores and prior training. Conclusion: Emotional regulation training effectively enhanced emotional adjustment and reduced psychological distress among nursing students. Integrating such programs into nursing education may promote mental health and improve clinical performance. Clinical trial number: Not applicable.","author":[{"dropping-particle":"","family":"Balideh","given":"Donya","non-dropping-particle":"","parse-names":false,"suffix":""},{"dropping-particle":"","family":"Nejati","given":"Fatemeh","non-dropping-particle":"","parse-names":false,"suffix":""},{"dropping-particle":"","family":"Torkaman","given":"Mahya","non-dropping-particle":"","parse-names":false,"suffix":""}],"container-title":"BMC Nursing","id":"ITEM-2","issue":"1","issued":{"date-parts":[["2025"]]},"page":"1-9","title":"Emotional regulation training for nursing students: effects on emotional adjustment and psychological distress","type":"article-journal","volume":"24"},"uris":["http://www.mendeley.com/documents/?uuid=ffa7ed17-dbf9-44e8-8dba-2ea1ef9a7002"]}],"mendeley":{"formattedCitation":"(Alkharj et al., 2024; Balideh et al., 2025)","plainTextFormattedCitation":"(Alkharj et al., 2024; Balideh et al., 2025)","previouslyFormattedCitation":"(Alkharj et al., 2024; Balideh et al., 2025)"},"properties":{"noteIndex":0},"schema":"https://github.com/citation-style-language/schema/raw/master/csl-citation.json"}</w:instrText>
      </w:r>
      <w:r w:rsidR="005F05A6" w:rsidRPr="00540B7B">
        <w:rPr>
          <w:rStyle w:val="Strong"/>
          <w:rFonts w:ascii="Times New Roman" w:hAnsi="Times New Roman" w:cs="Times New Roman"/>
          <w:b w:val="0"/>
          <w:bCs w:val="0"/>
          <w:color w:val="000000" w:themeColor="text1"/>
          <w:sz w:val="24"/>
          <w:szCs w:val="24"/>
        </w:rPr>
        <w:fldChar w:fldCharType="separate"/>
      </w:r>
      <w:r w:rsidR="005F05A6" w:rsidRPr="00540B7B">
        <w:rPr>
          <w:rStyle w:val="Strong"/>
          <w:rFonts w:ascii="Times New Roman" w:hAnsi="Times New Roman" w:cs="Times New Roman"/>
          <w:b w:val="0"/>
          <w:bCs w:val="0"/>
          <w:noProof/>
          <w:color w:val="000000" w:themeColor="text1"/>
          <w:sz w:val="24"/>
          <w:szCs w:val="24"/>
        </w:rPr>
        <w:t>(Alkharj et al., 2024; Balideh et al., 2025)</w:t>
      </w:r>
      <w:r w:rsidR="005F05A6" w:rsidRPr="00540B7B">
        <w:rPr>
          <w:rStyle w:val="Strong"/>
          <w:rFonts w:ascii="Times New Roman" w:hAnsi="Times New Roman" w:cs="Times New Roman"/>
          <w:b w:val="0"/>
          <w:bCs w:val="0"/>
          <w:color w:val="000000" w:themeColor="text1"/>
          <w:sz w:val="24"/>
          <w:szCs w:val="24"/>
        </w:rPr>
        <w:fldChar w:fldCharType="end"/>
      </w:r>
      <w:r w:rsidR="005F05A6" w:rsidRPr="00540B7B">
        <w:rPr>
          <w:rStyle w:val="Strong"/>
          <w:rFonts w:ascii="Times New Roman" w:hAnsi="Times New Roman" w:cs="Times New Roman"/>
          <w:b w:val="0"/>
          <w:bCs w:val="0"/>
          <w:color w:val="000000" w:themeColor="text1"/>
          <w:sz w:val="24"/>
          <w:szCs w:val="24"/>
        </w:rPr>
        <w:t>.</w:t>
      </w:r>
    </w:p>
    <w:p w14:paraId="260A7DFA" w14:textId="77777777" w:rsidR="00374C17" w:rsidRPr="00540B7B" w:rsidRDefault="00CF4564" w:rsidP="00540B7B">
      <w:pPr>
        <w:spacing w:before="240" w:after="240"/>
        <w:rPr>
          <w:rStyle w:val="Strong"/>
          <w:rFonts w:ascii="Times New Roman" w:hAnsi="Times New Roman" w:cs="Times New Roman"/>
          <w:b w:val="0"/>
          <w:bCs w:val="0"/>
          <w:color w:val="000000" w:themeColor="text1"/>
          <w:sz w:val="24"/>
          <w:szCs w:val="24"/>
        </w:rPr>
      </w:pPr>
      <w:r w:rsidRPr="00540B7B">
        <w:rPr>
          <w:rStyle w:val="Strong"/>
          <w:rFonts w:ascii="Times New Roman" w:hAnsi="Times New Roman" w:cs="Times New Roman"/>
          <w:b w:val="0"/>
          <w:bCs w:val="0"/>
          <w:color w:val="000000" w:themeColor="text1"/>
          <w:sz w:val="24"/>
          <w:szCs w:val="24"/>
        </w:rPr>
        <w:t>These concerns show the need to examine how nursing students respond to academic and clinical pressures. When students are unable to manage stress properly, they may experience difficulty concentrating, reduced motivation, emotional exhaustion, and decreased academic engagement. Nursing students may also encounter situations that test their confidence, such as return demonstrations, clinical exposure, interactions with patients, and fear of committing mistakes. These experiences may affect how they manage their emotions and continue performing their academic responsibilities.</w:t>
      </w:r>
    </w:p>
    <w:p w14:paraId="19D80804" w14:textId="411BAEE1" w:rsidR="00B64921" w:rsidRPr="00540B7B" w:rsidRDefault="00CF4564" w:rsidP="00540B7B">
      <w:pPr>
        <w:spacing w:before="240" w:after="240"/>
        <w:rPr>
          <w:rStyle w:val="Strong"/>
          <w:rFonts w:ascii="Times New Roman" w:hAnsi="Times New Roman" w:cs="Times New Roman"/>
          <w:bCs w:val="0"/>
          <w:color w:val="000000" w:themeColor="text1"/>
          <w:sz w:val="24"/>
          <w:szCs w:val="24"/>
        </w:rPr>
      </w:pPr>
      <w:r w:rsidRPr="00540B7B">
        <w:rPr>
          <w:rStyle w:val="Strong"/>
          <w:rFonts w:ascii="Times New Roman" w:hAnsi="Times New Roman" w:cs="Times New Roman"/>
          <w:b w:val="0"/>
          <w:bCs w:val="0"/>
          <w:color w:val="000000" w:themeColor="text1"/>
          <w:sz w:val="24"/>
          <w:szCs w:val="24"/>
        </w:rPr>
        <w:t>The problem becomes more significant when academic and clinical demands exceed the students’ capacity to adjust.</w:t>
      </w:r>
      <w:r w:rsidR="005F05A6" w:rsidRPr="00540B7B">
        <w:rPr>
          <w:rStyle w:val="Strong"/>
          <w:rFonts w:ascii="Times New Roman" w:hAnsi="Times New Roman" w:cs="Times New Roman"/>
          <w:b w:val="0"/>
          <w:bCs w:val="0"/>
          <w:color w:val="000000" w:themeColor="text1"/>
          <w:sz w:val="24"/>
          <w:szCs w:val="24"/>
        </w:rPr>
        <w:t xml:space="preserve"> </w:t>
      </w:r>
      <w:r w:rsidR="005F05A6" w:rsidRPr="00540B7B">
        <w:rPr>
          <w:rStyle w:val="Strong"/>
          <w:rFonts w:ascii="Times New Roman" w:hAnsi="Times New Roman" w:cs="Times New Roman"/>
          <w:b w:val="0"/>
          <w:bCs w:val="0"/>
          <w:color w:val="000000" w:themeColor="text1"/>
          <w:sz w:val="24"/>
          <w:szCs w:val="24"/>
        </w:rPr>
        <w:fldChar w:fldCharType="begin" w:fldLock="1"/>
      </w:r>
      <w:r w:rsidR="005F05A6" w:rsidRPr="00540B7B">
        <w:rPr>
          <w:rStyle w:val="Strong"/>
          <w:rFonts w:ascii="Times New Roman" w:hAnsi="Times New Roman" w:cs="Times New Roman"/>
          <w:b w:val="0"/>
          <w:bCs w:val="0"/>
          <w:color w:val="000000" w:themeColor="text1"/>
          <w:sz w:val="24"/>
          <w:szCs w:val="24"/>
        </w:rPr>
        <w:instrText>ADDIN CSL_CITATION {"citationItems":[{"id":"ITEM-1","itemData":{"DOI":"10.1186/s12912-024-01962-5","ISSN":"14726955","abstract":"Background: Understanding the stressors and coping strategies of nursing students in their first clinical training is important for improving student performance, helping students develop a professional identity and problem-solving skills, and improving the clinical teaching aspects of the curriculum in nursing programmes. While previous research have examined nurses’ sources of stress and coping styles in the Arab region, there is limited understanding of these stressors and coping strategies of nursing students within the UAE context thereby, highlighting the novelty and significance of the study. Methods: A qualitative study was conducted using semi-structured interviews. Overall 30 students who were undergoing their first clinical placement in Year 2 at the University of Sharjah between May and June 2022 were recruited. All interviews were recorded and transcribed verbatim and analyzed for themes. Results: During their first clinical training, nursing students are exposed to stress from different sources, including the clinical environment, unfriendly clinical tutors, feelings of disconnection, multiple expectations of clinical staff and patients, and gaps between the curriculum of theory classes and labatories skills and students’ clinical experiences. We extracted three main themes that described students’ stress and use of coping strategies during clinical training: (1) managing expectations; (2) theory-practice gap; and (3) learning to cope. Learning to cope, included two subthemes: positive coping strategies and negative coping strategies. Conclusions: This qualitative study sheds light from the students viewpoint about the intricate interplay between managing expectations, theory practice gap and learning to cope. Therefore, it is imperative for nursing faculty, clinical agencies and curriculum planners to ensure maximum learning in the clinical by recognizing the significance of the stressors encountered and help students develop positive coping strategies to manage the clinical stressors encountered. Further research is required look at the perspective of clinical stressors from clinical tutors who supervise students during their first clinical practicum.","author":[{"dropping-particle":"","family":"Dias","given":"Jacqueline Maria","non-dropping-particle":"","parse-names":false,"suffix":""},{"dropping-particle":"","family":"Subu","given":"Muhammad Arsyad","non-dropping-particle":"","parse-names":false,"suffix":""},{"dropping-particle":"","family":"Al-Yateem","given":"Nabeel","non-dropping-particle":"","parse-names":false,"suffix":""},{"dropping-particle":"","family":"Ahmed","given":"Fatma Refaat","non-dropping-particle":"","parse-names":false,"suffix":""},{"dropping-particle":"","family":"Rahman","given":"Syed Azizur","non-dropping-particle":"","parse-names":false,"suffix":""},{"dropping-particle":"","family":"Abraham","given":"Mini Sara","non-dropping-particle":"","parse-names":false,"suffix":""},{"dropping-particle":"","family":"Forootan","given":"Sareh Mirza","non-dropping-particle":"","parse-names":false,"suffix":""},{"dropping-particle":"","family":"Sarkhosh","given":"Farzaneh Ahmad","non-dropping-particle":"","parse-names":false,"suffix":""},{"dropping-particle":"","family":"Javanbakh","given":"Fatemeh","non-dropping-particle":"","parse-names":false,"suffix":""}],"container-title":"BMC Nursing","id":"ITEM-1","issue":"1","issued":{"date-parts":[["2024"]]},"page":"1-11","title":"Nursing students’ stressors and coping strategies during their first clinical training: a qualitative study in the United Arab Emirates","type":"article-journal","volume":"23"},"uris":["http://www.mendeley.com/documents/?uuid=8bf8022b-4e2d-4258-974c-256e2150444c"]}],"mendeley":{"formattedCitation":"(Dias et al., 2024)","manualFormatting":"Dias et al. (2024)","plainTextFormattedCitation":"(Dias et al., 2024)","previouslyFormattedCitation":"(Dias et al., 2024)"},"properties":{"noteIndex":0},"schema":"https://github.com/citation-style-language/schema/raw/master/csl-citation.json"}</w:instrText>
      </w:r>
      <w:r w:rsidR="005F05A6" w:rsidRPr="00540B7B">
        <w:rPr>
          <w:rStyle w:val="Strong"/>
          <w:rFonts w:ascii="Times New Roman" w:hAnsi="Times New Roman" w:cs="Times New Roman"/>
          <w:b w:val="0"/>
          <w:bCs w:val="0"/>
          <w:color w:val="000000" w:themeColor="text1"/>
          <w:sz w:val="24"/>
          <w:szCs w:val="24"/>
        </w:rPr>
        <w:fldChar w:fldCharType="separate"/>
      </w:r>
      <w:r w:rsidR="005F05A6" w:rsidRPr="00540B7B">
        <w:rPr>
          <w:rStyle w:val="Strong"/>
          <w:rFonts w:ascii="Times New Roman" w:hAnsi="Times New Roman" w:cs="Times New Roman"/>
          <w:b w:val="0"/>
          <w:bCs w:val="0"/>
          <w:noProof/>
          <w:color w:val="000000" w:themeColor="text1"/>
          <w:sz w:val="24"/>
          <w:szCs w:val="24"/>
        </w:rPr>
        <w:t>Dias et al. (2024)</w:t>
      </w:r>
      <w:r w:rsidR="005F05A6" w:rsidRPr="00540B7B">
        <w:rPr>
          <w:rStyle w:val="Strong"/>
          <w:rFonts w:ascii="Times New Roman" w:hAnsi="Times New Roman" w:cs="Times New Roman"/>
          <w:b w:val="0"/>
          <w:bCs w:val="0"/>
          <w:color w:val="000000" w:themeColor="text1"/>
          <w:sz w:val="24"/>
          <w:szCs w:val="24"/>
        </w:rPr>
        <w:fldChar w:fldCharType="end"/>
      </w:r>
      <w:r w:rsidRPr="00540B7B">
        <w:rPr>
          <w:rStyle w:val="Strong"/>
          <w:rFonts w:ascii="Times New Roman" w:hAnsi="Times New Roman" w:cs="Times New Roman"/>
          <w:b w:val="0"/>
          <w:bCs w:val="0"/>
          <w:color w:val="000000" w:themeColor="text1"/>
          <w:sz w:val="24"/>
          <w:szCs w:val="24"/>
        </w:rPr>
        <w:t xml:space="preserve"> emphasized that nursing students may experience overwhelming stress due to academic workload and clinical responsibilities. If these concerns are not addressed, students may become more vulnerable to emotional difficulties and poor academic functioning.</w:t>
      </w:r>
      <w:r w:rsidR="005F05A6" w:rsidRPr="00540B7B">
        <w:rPr>
          <w:rStyle w:val="Strong"/>
          <w:rFonts w:ascii="Times New Roman" w:hAnsi="Times New Roman" w:cs="Times New Roman"/>
          <w:b w:val="0"/>
          <w:bCs w:val="0"/>
          <w:color w:val="000000" w:themeColor="text1"/>
          <w:sz w:val="24"/>
          <w:szCs w:val="24"/>
        </w:rPr>
        <w:t xml:space="preserve"> </w:t>
      </w:r>
      <w:r w:rsidR="005F05A6" w:rsidRPr="00540B7B">
        <w:rPr>
          <w:rStyle w:val="Strong"/>
          <w:rFonts w:ascii="Times New Roman" w:hAnsi="Times New Roman" w:cs="Times New Roman"/>
          <w:b w:val="0"/>
          <w:bCs w:val="0"/>
          <w:color w:val="000000" w:themeColor="text1"/>
          <w:sz w:val="24"/>
          <w:szCs w:val="24"/>
        </w:rPr>
        <w:fldChar w:fldCharType="begin" w:fldLock="1"/>
      </w:r>
      <w:r w:rsidR="00D56A1F">
        <w:rPr>
          <w:rStyle w:val="Strong"/>
          <w:rFonts w:ascii="Times New Roman" w:hAnsi="Times New Roman" w:cs="Times New Roman"/>
          <w:b w:val="0"/>
          <w:bCs w:val="0"/>
          <w:color w:val="000000" w:themeColor="text1"/>
          <w:sz w:val="24"/>
          <w:szCs w:val="24"/>
        </w:rPr>
        <w:instrText>ADDIN CSL_CITATION {"citationItems":[{"id":"ITEM-1","itemData":{"DOI":"10.31586/wjnr.2024.1072","ISSN":"14726955","abstract":"Aim: Explore the mediating role of cognitive emotion regulation strategies used by nursing students between academic anxiety and procrastination. Design: A descriptive correlational design was used. Setting: This study was carried out in the faculty of nursing at the University of Alexandria. Sample: The participants in this study were all students enrolled in emergency nursing during the second semester of the academic year 2021–2022 and a convenience sampling of 654 nursing students. The Sobel test was used as a statistical method to determine the significance of a mediation effect by assessing whether the relationship between perceived academic anxiety and procrastination was significantly reduced when cognitive emotion regulation was included, using coefficients and standard errors from regression models to calculate the test statistic. Tools: Academic Anxiety Scale, Academic Procrastination Scale, and Cognitive Emotion Regulation Questionnaire were used to collect data. Results: The study found that 46.5% of students reported high anxiety levels, with 40.1% perceiving moderate anxiety and only 11.3% experiencing low anxiety. Moreover, 80.4% of nursing students showed moderate academic procrastination. There is a positive correlation between procrastination and academic anxiety, with Adaptive and maladaptive coping strategies mediating this relationship, according to the Sobel test. Conclusion: Based on the results, it can be concluded that there is a complex causal and effect relationship between academic anxiety and procrastination. Nursing students may resort to academic procrastination as a means of coping. Therefore, reducing anxiety, correcting maladaptive behaviors, and enhancing adaptive cognitive and emotional regulation strategies could effectively reduce academic procrastination.","author":[{"dropping-particle":"","family":"Espulgar","given":"Kenneth Dwight","non-dropping-particle":"","parse-names":false,"suffix":""},{"dropping-particle":"","family":"Faeldan","given":"Zyrill Jovelle","non-dropping-particle":"","parse-names":false,"suffix":""},{"dropping-particle":"","family":"Ferre","given":"Christian Joy","non-dropping-particle":"","parse-names":false,"suffix":""},{"dropping-particle":"","family":"Frago","given":"Julie Ann","non-dropping-particle":"","parse-names":false,"suffix":""},{"dropping-particle":"","family":"Galanao","given":"Andrea Fatima","non-dropping-particle":"","parse-names":false,"suffix":""},{"dropping-particle":"","family":"Narvaez","given":"Roison Andro","non-dropping-particle":"","parse-names":false,"suffix":""},{"dropping-particle":"","family":"Macaraeg","given":"Emmy","non-dropping-particle":"","parse-names":false,"suffix":""},{"dropping-particle":"","family":"Antonio","given":"Rolando","non-dropping-particle":"","parse-names":false,"suffix":""},{"dropping-particle":"","family":"Gause","given":"Gopolang","non-dropping-particle":"","parse-names":false,"suffix":""},{"dropping-particle":"","family":"Sehularo","given":"Leepile Alfred","non-dropping-particle":"","parse-names":false,"suffix":""},{"dropping-particle":"","family":"Matsipane","given":"Molekodi Jacob","non-dropping-particle":"","parse-names":false,"suffix":""},{"dropping-particle":"","family":"Ghattas","given":"Amina Hemida Salem","non-dropping-particle":"","parse-names":false,"suffix":""},{"dropping-particle":"","family":"El-Ashry","given":"Ayman Mohamed","non-dropping-particle":"","parse-names":false,"suffix":""}],"container-title":"BMC Nursing","id":"ITEM-1","issue":"1","issued":{"date-parts":[["2024"]]},"page":"64-72","title":"Coping strategies used by undergraduate first-year nursing students during transition from basic to higher education: a qualitative study","type":"article-journal","volume":"23"},"uris":["http://www.mendeley.com/documents/?uuid=4184b21d-767e-481c-86a6-849b29d8729c"]}],"mendeley":{"formattedCitation":"(Espulgar et al., 2024)","manualFormatting":"Espulgar (2024)","plainTextFormattedCitation":"(Espulgar et al., 2024)","previouslyFormattedCitation":"(Espulgar et al., 2024)"},"properties":{"noteIndex":0},"schema":"https://github.com/citation-style-language/schema/raw/master/csl-citation.json"}</w:instrText>
      </w:r>
      <w:r w:rsidR="005F05A6" w:rsidRPr="00540B7B">
        <w:rPr>
          <w:rStyle w:val="Strong"/>
          <w:rFonts w:ascii="Times New Roman" w:hAnsi="Times New Roman" w:cs="Times New Roman"/>
          <w:b w:val="0"/>
          <w:bCs w:val="0"/>
          <w:color w:val="000000" w:themeColor="text1"/>
          <w:sz w:val="24"/>
          <w:szCs w:val="24"/>
        </w:rPr>
        <w:fldChar w:fldCharType="separate"/>
      </w:r>
      <w:r w:rsidR="005F05A6" w:rsidRPr="00540B7B">
        <w:rPr>
          <w:rStyle w:val="Strong"/>
          <w:rFonts w:ascii="Times New Roman" w:hAnsi="Times New Roman" w:cs="Times New Roman"/>
          <w:b w:val="0"/>
          <w:bCs w:val="0"/>
          <w:noProof/>
          <w:color w:val="000000" w:themeColor="text1"/>
          <w:sz w:val="24"/>
          <w:szCs w:val="24"/>
        </w:rPr>
        <w:t>Espulgar (2024)</w:t>
      </w:r>
      <w:r w:rsidR="005F05A6" w:rsidRPr="00540B7B">
        <w:rPr>
          <w:rStyle w:val="Strong"/>
          <w:rFonts w:ascii="Times New Roman" w:hAnsi="Times New Roman" w:cs="Times New Roman"/>
          <w:b w:val="0"/>
          <w:bCs w:val="0"/>
          <w:color w:val="000000" w:themeColor="text1"/>
          <w:sz w:val="24"/>
          <w:szCs w:val="24"/>
        </w:rPr>
        <w:fldChar w:fldCharType="end"/>
      </w:r>
      <w:r w:rsidRPr="00540B7B">
        <w:rPr>
          <w:rStyle w:val="Strong"/>
          <w:rFonts w:ascii="Times New Roman" w:hAnsi="Times New Roman" w:cs="Times New Roman"/>
          <w:b w:val="0"/>
          <w:bCs w:val="0"/>
          <w:color w:val="000000" w:themeColor="text1"/>
          <w:sz w:val="24"/>
          <w:szCs w:val="24"/>
        </w:rPr>
        <w:t xml:space="preserve"> also noted that ineffective responses to stress may worsen emotional challenges among students. These issues justify the need to better understand the emotional and coping-related experiences of nursing students.</w:t>
      </w:r>
    </w:p>
    <w:p w14:paraId="79248D0B" w14:textId="77777777" w:rsidR="00B64921"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Unmanaged stress may also create long-term effects on nursing students. Students who continuously struggle with academic pressure may find it difficult to sustain motivation, participate actively in learning activities, and remain confident in their program.</w:t>
      </w:r>
      <w:r w:rsidR="005F05A6" w:rsidRPr="00540B7B">
        <w:rPr>
          <w:rStyle w:val="Strong"/>
          <w:b w:val="0"/>
          <w:bCs w:val="0"/>
          <w:color w:val="000000" w:themeColor="text1"/>
        </w:rPr>
        <w:t xml:space="preserve"> </w:t>
      </w:r>
      <w:r w:rsidRPr="00540B7B">
        <w:rPr>
          <w:rStyle w:val="Strong"/>
          <w:b w:val="0"/>
          <w:bCs w:val="0"/>
          <w:color w:val="000000" w:themeColor="text1"/>
        </w:rPr>
        <w:t xml:space="preserve"> </w:t>
      </w:r>
      <w:r w:rsidR="005F05A6" w:rsidRPr="00540B7B">
        <w:rPr>
          <w:rStyle w:val="Strong"/>
          <w:b w:val="0"/>
          <w:bCs w:val="0"/>
          <w:color w:val="000000" w:themeColor="text1"/>
        </w:rPr>
        <w:fldChar w:fldCharType="begin" w:fldLock="1"/>
      </w:r>
      <w:r w:rsidR="00F032F4" w:rsidRPr="00540B7B">
        <w:rPr>
          <w:rStyle w:val="Strong"/>
          <w:b w:val="0"/>
          <w:bCs w:val="0"/>
          <w:color w:val="000000" w:themeColor="text1"/>
        </w:rPr>
        <w:instrText>ADDIN CSL_CITATION {"citationItems":[{"id":"ITEM-1","itemData":{"DOI":"10.1080/02673843.2019.1596823","ISSN":"0267-3843","author":[{"dropping-particle":"","family":"Pascoe","given":"Michaela C","non-dropping-particle":"","parse-names":false,"suffix":""},{"dropping-particle":"","family":"Hetrick","given":"Sarah E","non-dropping-particle":"","parse-names":false,"suffix":""},{"dropping-particle":"","family":"Parker","given":"Alexandra G","non-dropping-particle":"","parse-names":false,"suffix":""},{"dropping-particle":"","family":"Pascoe","given":"Michaela C","non-dropping-particle":"","parse-names":false,"suffix":""},{"dropping-particle":"","family":"Hetrick","given":"Sarah E","non-dropping-particle":"","parse-names":false,"suffix":""},{"dropping-particle":"","family":"The","given":"Alexandra G Parker","non-dropping-particle":"","parse-names":false,"suffix":""},{"dropping-particle":"","family":"Pascoe","given":"Michaela C","non-dropping-particle":"","parse-names":false,"suffix":""}],"container-title":"International Journal of Adolescence and Youth","id":"ITEM-1","issue":"1","issued":{"date-parts":[["2020"]]},"page":"104-112","publisher":"Routledge","title":"The impact of stress on students in secondary school and higher education education","type":"article-journal","volume":"25"},"uris":["http://www.mendeley.com/documents/?uuid=a759408e-2eac-4d2f-ace9-e1e042f10616"]}],"mendeley":{"formattedCitation":"(Pascoe et al., 2020)","manualFormatting":"Pascoe et al. (2020)","plainTextFormattedCitation":"(Pascoe et al., 2020)","previouslyFormattedCitation":"(Pascoe et al., 2020)"},"properties":{"noteIndex":0},"schema":"https://github.com/citation-style-language/schema/raw/master/csl-citation.json"}</w:instrText>
      </w:r>
      <w:r w:rsidR="005F05A6" w:rsidRPr="00540B7B">
        <w:rPr>
          <w:rStyle w:val="Strong"/>
          <w:b w:val="0"/>
          <w:bCs w:val="0"/>
          <w:color w:val="000000" w:themeColor="text1"/>
        </w:rPr>
        <w:fldChar w:fldCharType="separate"/>
      </w:r>
      <w:r w:rsidR="005F05A6" w:rsidRPr="00540B7B">
        <w:rPr>
          <w:rStyle w:val="Strong"/>
          <w:b w:val="0"/>
          <w:bCs w:val="0"/>
          <w:noProof/>
          <w:color w:val="000000" w:themeColor="text1"/>
        </w:rPr>
        <w:t>Pascoe et al. (2020)</w:t>
      </w:r>
      <w:r w:rsidR="005F05A6" w:rsidRPr="00540B7B">
        <w:rPr>
          <w:rStyle w:val="Strong"/>
          <w:b w:val="0"/>
          <w:bCs w:val="0"/>
          <w:color w:val="000000" w:themeColor="text1"/>
        </w:rPr>
        <w:fldChar w:fldCharType="end"/>
      </w:r>
      <w:r w:rsidR="005F05A6" w:rsidRPr="00540B7B">
        <w:rPr>
          <w:rStyle w:val="Strong"/>
          <w:b w:val="0"/>
          <w:bCs w:val="0"/>
          <w:color w:val="000000" w:themeColor="text1"/>
        </w:rPr>
        <w:t xml:space="preserve"> empha</w:t>
      </w:r>
      <w:r w:rsidR="00E109CF" w:rsidRPr="00540B7B">
        <w:rPr>
          <w:rStyle w:val="Strong"/>
          <w:b w:val="0"/>
          <w:bCs w:val="0"/>
          <w:color w:val="000000" w:themeColor="text1"/>
        </w:rPr>
        <w:t>sized that academic-related stress may reduce academic achievement, decrease motivation, and increase the risk of school dropout, suggesting that unmanaged stress can contribute to poor academic performance and student attrition</w:t>
      </w:r>
      <w:r w:rsidRPr="00540B7B">
        <w:rPr>
          <w:rStyle w:val="Strong"/>
          <w:b w:val="0"/>
          <w:bCs w:val="0"/>
          <w:color w:val="000000" w:themeColor="text1"/>
        </w:rPr>
        <w:t>. Moreover, emotional difficulties among nursing students may later affect their professional readiness and ability to function effectively in healthcare settings</w:t>
      </w:r>
      <w:r w:rsidR="00F032F4" w:rsidRPr="00540B7B">
        <w:rPr>
          <w:rStyle w:val="Strong"/>
          <w:b w:val="0"/>
          <w:bCs w:val="0"/>
          <w:color w:val="000000" w:themeColor="text1"/>
        </w:rPr>
        <w:t xml:space="preserve"> </w:t>
      </w:r>
      <w:r w:rsidR="00F032F4" w:rsidRPr="00540B7B">
        <w:rPr>
          <w:rStyle w:val="Strong"/>
          <w:b w:val="0"/>
          <w:bCs w:val="0"/>
          <w:color w:val="000000" w:themeColor="text1"/>
        </w:rPr>
        <w:fldChar w:fldCharType="begin" w:fldLock="1"/>
      </w:r>
      <w:r w:rsidR="00B02184" w:rsidRPr="00540B7B">
        <w:rPr>
          <w:rStyle w:val="Strong"/>
          <w:b w:val="0"/>
          <w:bCs w:val="0"/>
          <w:color w:val="000000" w:themeColor="text1"/>
        </w:rPr>
        <w:instrText>ADDIN CSL_CITATION {"citationItems":[{"id":"ITEM-1","itemData":{"DOI":"10.1186/s12912-025-04029-1","ISSN":"14726955","abstract":"Background: Nursing students often face psychological challenges such as anxiety, depression, and stress, especially when they start their clinical training. These challenges can impair their emotional adjustment and increase psychological distress. Emotional regulation programs may help reduce these negative effects. Therefore, this study aimed to evaluate the effect of an emotional regulation program on emotional adjustment and psychological distress among undergraduate nursing students. Methods: This experimental study used a pre-test/post-test design with both an intervention and a control group. A total of 72 fifth-semester nursing students from Razi School of Nursing, Kerman, were recruited using convenience sampling and randomly assigned to the intervention (n = 36) or control (n = 36) group using a lottery method. The intervention group participated in eight sessions of the Gross model-based emotional regulation training. Both groups completed the Emotional Adjustment Measure (EAM) and the Kessler Psychological Distress Scale (K-10) before and one month after the intervention. Results: An ANCOVA analysis showed that the intervention group had significantly higher emotional adjustment and significantly lower psychological distress at post-test compared to the control group (p &lt; 0.001). These findings remained significant even after controlling for baseline scores and prior training. Conclusion: Emotional regulation training effectively enhanced emotional adjustment and reduced psychological distress among nursing students. Integrating such programs into nursing education may promote mental health and improve clinical performance. Clinical trial number: Not applicable.","author":[{"dropping-particle":"","family":"Balideh","given":"Donya","non-dropping-particle":"","parse-names":false,"suffix":""},{"dropping-particle":"","family":"Nejati","given":"Fatemeh","non-dropping-particle":"","parse-names":false,"suffix":""},{"dropping-particle":"","family":"Torkaman","given":"Mahya","non-dropping-particle":"","parse-names":false,"suffix":""}],"container-title":"BMC Nursing","id":"ITEM-1","issue":"1","issued":{"date-parts":[["2025"]]},"page":"1-9","title":"Emotional regulation training for nursing students: effects on emotional adjustment and psychological distress","type":"article-journal","volume":"24"},"uris":["http://www.mendeley.com/documents/?uuid=ffa7ed17-dbf9-44e8-8dba-2ea1ef9a7002"]}],"mendeley":{"formattedCitation":"(Balideh et al., 2025)","plainTextFormattedCitation":"(Balideh et al., 2025)","previouslyFormattedCitation":"(Balideh et al., 2025)"},"properties":{"noteIndex":0},"schema":"https://github.com/citation-style-language/schema/raw/master/csl-citation.json"}</w:instrText>
      </w:r>
      <w:r w:rsidR="00F032F4" w:rsidRPr="00540B7B">
        <w:rPr>
          <w:rStyle w:val="Strong"/>
          <w:b w:val="0"/>
          <w:bCs w:val="0"/>
          <w:color w:val="000000" w:themeColor="text1"/>
        </w:rPr>
        <w:fldChar w:fldCharType="separate"/>
      </w:r>
      <w:r w:rsidR="00F032F4" w:rsidRPr="00540B7B">
        <w:rPr>
          <w:rStyle w:val="Strong"/>
          <w:b w:val="0"/>
          <w:bCs w:val="0"/>
          <w:noProof/>
          <w:color w:val="000000" w:themeColor="text1"/>
        </w:rPr>
        <w:t>(Balideh et al., 2025)</w:t>
      </w:r>
      <w:r w:rsidR="00F032F4" w:rsidRPr="00540B7B">
        <w:rPr>
          <w:rStyle w:val="Strong"/>
          <w:b w:val="0"/>
          <w:bCs w:val="0"/>
          <w:color w:val="000000" w:themeColor="text1"/>
        </w:rPr>
        <w:fldChar w:fldCharType="end"/>
      </w:r>
      <w:r w:rsidRPr="00540B7B">
        <w:rPr>
          <w:rStyle w:val="Strong"/>
          <w:b w:val="0"/>
          <w:bCs w:val="0"/>
          <w:color w:val="000000" w:themeColor="text1"/>
        </w:rPr>
        <w:t>. This shows that the concern is not limited to academic performance alone but may also influence the future quality of nursing practice.</w:t>
      </w:r>
    </w:p>
    <w:p w14:paraId="04D173CE" w14:textId="2ABEEA05" w:rsidR="00CF4564"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 xml:space="preserve">As </w:t>
      </w:r>
      <w:proofErr w:type="spellStart"/>
      <w:r w:rsidRPr="00540B7B">
        <w:rPr>
          <w:rStyle w:val="Strong"/>
          <w:b w:val="0"/>
          <w:bCs w:val="0"/>
          <w:color w:val="000000" w:themeColor="text1"/>
        </w:rPr>
        <w:t>students</w:t>
      </w:r>
      <w:proofErr w:type="spellEnd"/>
      <w:r w:rsidRPr="00540B7B">
        <w:rPr>
          <w:rStyle w:val="Strong"/>
          <w:b w:val="0"/>
          <w:bCs w:val="0"/>
          <w:color w:val="000000" w:themeColor="text1"/>
        </w:rPr>
        <w:t xml:space="preserve"> progress in their nursing education, their responsibilities become more complex. Academic requirements increase, clinical exposure becomes more demanding, and expectations from instructors, families, and the institution become stronger.</w:t>
      </w:r>
      <w:r w:rsidR="00B02184" w:rsidRPr="00540B7B">
        <w:rPr>
          <w:rStyle w:val="Strong"/>
          <w:b w:val="0"/>
          <w:bCs w:val="0"/>
          <w:color w:val="000000" w:themeColor="text1"/>
        </w:rPr>
        <w:t xml:space="preserve"> </w:t>
      </w:r>
      <w:r w:rsidR="00B02184" w:rsidRPr="00540B7B">
        <w:rPr>
          <w:rStyle w:val="Strong"/>
          <w:b w:val="0"/>
          <w:bCs w:val="0"/>
          <w:color w:val="000000" w:themeColor="text1"/>
        </w:rPr>
        <w:fldChar w:fldCharType="begin" w:fldLock="1"/>
      </w:r>
      <w:r w:rsidR="00B02184" w:rsidRPr="00540B7B">
        <w:rPr>
          <w:rStyle w:val="Strong"/>
          <w:b w:val="0"/>
          <w:bCs w:val="0"/>
          <w:color w:val="000000" w:themeColor="text1"/>
        </w:rPr>
        <w:instrText>ADDIN CSL_CITATION {"citationItems":[{"id":"ITEM-1","itemData":{"DOI":"10.1186/s12909-024-05332-2","ISSN":"14726920","PMID":"38553678","abstract":"Background: Clinical practicum is crucial for strengthening nursing students' clinical competence. However, nursing students often experience considerable stress during clinical practicum, and so they employ coping strategies to alleviate it. There is almost no empirical evidence on the change trajectory of perceived stress, coping strategies, and clinical competence among nursing students during a one-year clinical practicum. This study aimed to investigate the trajectory of change in perceived stress, coping strategies, and clinical competence among undergraduate nursing students during a one-year clinical practicum. Methods: This study used a longitudinal cohort design. Undergraduate nursing students were recruited from a science and technology university in Taiwan to participate from February 2021 to January 2022. Perceived stress, coping strategies, and clinical competence among students in basic training practicum (T1), advanced training practicum (T2), and comprehensive clinical nursing practicum (T3) were surveyed by using the Perceived Stress Scale (PSS), Coping Behaviour Inventory (CBI), and Clinical Competence Scale (CCS). PSS, CBI, and CCS in T1, T2, and T3 were compared using a generalized estimating equation (GEE) to deal with correlated data. The level of statistical significance was set at α = 0.05. Results: A total of 315 undergraduate nursing students completed the questionnaire. The study results show that the overall perceived stress of the students is the highest in T2 and the lowest in T3. The main source of stress of the students is 'taking care of patients' at T1 and 'lack of professional knowledge and skills' at T2 and T3. Students' perceived stress in 'taking care of patients' gradually decreases over time. The four coping strategies of CBI, which are 'stay optimistic', 'problem-solving', 'transference' and 'avoidance' in this order, remain the same ranking in three surveys.The main stress coping strategy used by students is 'stay optimistic', while the coping strategy 'avoidance' is used more frequently in T2 than in T1 and T3. Students' mean scores of the overall clinical competence and in the 'general nursing' and 'management' subscales in T3 are higher than those in T1 and T2. However, their mean scores in 'self-growth' and 'positivity' subscales are the highest in T1 and the lowest in T2. Conclusions: The results show that through experiential learning in clinical practicum at different stages time after time, students' ov…","author":[{"dropping-particle":"","family":"Tsai","given":"Li Hung","non-dropping-particle":"","parse-names":false,"suffix":""},{"dropping-particle":"","family":"See","given":"Lai Chu","non-dropping-particle":"","parse-names":false,"suffix":""},{"dropping-particle":"","family":"Fan","given":"Jun Yu","non-dropping-particle":"","parse-names":false,"suffix":""},{"dropping-particle":"","family":"Tsai","given":"Ching Ching","non-dropping-particle":"","parse-names":false,"suffix":""},{"dropping-particle":"","family":"Chen","given":"Chuan Mei","non-dropping-particle":"","parse-names":false,"suffix":""},{"dropping-particle":"","family":"Peng","given":"Wei Sheng","non-dropping-particle":"","parse-names":false,"suffix":""}],"container-title":"BMC Medical Education","id":"ITEM-1","issue":"1","issued":{"date-parts":[["2024"]]},"page":"1-11","publisher":"BioMed Central","title":"Trajectory of change in perceived stress, coping strategies and clinical competence among undergraduate nursing students during clinical practicum: a longitudinal cohort study","type":"article-journal","volume":"24"},"uris":["http://www.mendeley.com/documents/?uuid=7be01f26-4c72-48a8-a7cc-4de79afb9026"]}],"mendeley":{"formattedCitation":"(Tsai et al., 2024)","manualFormatting":"Tsai et al. (2024)","plainTextFormattedCitation":"(Tsai et al., 2024)","previouslyFormattedCitation":"(Tsai et al., 2024)"},"properties":{"noteIndex":0},"schema":"https://github.com/citation-style-language/schema/raw/master/csl-citation.json"}</w:instrText>
      </w:r>
      <w:r w:rsidR="00B02184" w:rsidRPr="00540B7B">
        <w:rPr>
          <w:rStyle w:val="Strong"/>
          <w:b w:val="0"/>
          <w:bCs w:val="0"/>
          <w:color w:val="000000" w:themeColor="text1"/>
        </w:rPr>
        <w:fldChar w:fldCharType="separate"/>
      </w:r>
      <w:r w:rsidR="00B02184" w:rsidRPr="00540B7B">
        <w:rPr>
          <w:rStyle w:val="Strong"/>
          <w:b w:val="0"/>
          <w:bCs w:val="0"/>
          <w:noProof/>
          <w:color w:val="000000" w:themeColor="text1"/>
        </w:rPr>
        <w:t>Tsai et al. (2024)</w:t>
      </w:r>
      <w:r w:rsidR="00B02184" w:rsidRPr="00540B7B">
        <w:rPr>
          <w:rStyle w:val="Strong"/>
          <w:b w:val="0"/>
          <w:bCs w:val="0"/>
          <w:color w:val="000000" w:themeColor="text1"/>
        </w:rPr>
        <w:fldChar w:fldCharType="end"/>
      </w:r>
      <w:r w:rsidRPr="00540B7B">
        <w:rPr>
          <w:rStyle w:val="Strong"/>
          <w:b w:val="0"/>
          <w:bCs w:val="0"/>
          <w:color w:val="000000" w:themeColor="text1"/>
        </w:rPr>
        <w:t xml:space="preserve"> noted that stress may intensify during critical stages of nursing training, particularly during clinical practicum. Because of this, it is important to examine the experiences of nursing students before these concerns further affect their academic performance, emotional well-being, and professional development.</w:t>
      </w:r>
    </w:p>
    <w:p w14:paraId="75D94E36" w14:textId="77777777" w:rsidR="00B64921"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Several personal and environmental conditions may also contribute to the way nursing students handle academic and clinical pressure. These include academic workload, clinical learning environment, family expectations, financial concerns, support from instructors, and peer relationships.</w:t>
      </w:r>
      <w:r w:rsidR="00B02184" w:rsidRPr="00540B7B">
        <w:rPr>
          <w:rStyle w:val="Strong"/>
          <w:b w:val="0"/>
          <w:bCs w:val="0"/>
          <w:color w:val="000000" w:themeColor="text1"/>
        </w:rPr>
        <w:t xml:space="preserve"> </w:t>
      </w:r>
      <w:r w:rsidR="00B02184" w:rsidRPr="00540B7B">
        <w:rPr>
          <w:rStyle w:val="Strong"/>
          <w:b w:val="0"/>
          <w:bCs w:val="0"/>
          <w:color w:val="000000" w:themeColor="text1"/>
        </w:rPr>
        <w:fldChar w:fldCharType="begin" w:fldLock="1"/>
      </w:r>
      <w:r w:rsidR="00B02184" w:rsidRPr="00540B7B">
        <w:rPr>
          <w:rStyle w:val="Strong"/>
          <w:b w:val="0"/>
          <w:bCs w:val="0"/>
          <w:color w:val="000000" w:themeColor="text1"/>
        </w:rPr>
        <w:instrText>ADDIN CSL_CITATION {"citationItems":[{"id":"ITEM-1","itemData":{"DOI":"10.1016/j.ijnss.2022.02.004","ISSN":"23520132","abstract":"Objectives: This study aimed to explore the level of stress, types of stressors, type of coping styles, and factors influencing stress levels and coping styles among nursing students during the initial period of the clinical practicum. Methods: A cross-sectional survey design was used. In September 2017, participants were recruited from a tertiary hospital in Zhejiang Province, China, using a convenience sampling method. A demographic characteristics questionnaire, the Intern Nursing Student Stressor Scale, and the Simple Coping Style Questionnaire were used to collect data. Data were analyzed using descriptive analysis, independent sample t-tests, one-way analysis of variance, Pearson's correlation analysis, and multiple linear regression analysis. Results: A total of 158 nursing students were recruited, most of whom were female, undergraduates, and from rural areas. The nursing students perceived a moderate level of stress during the initial period of the clinical practicum. The need for knowledge and skills was the most common source of stress. Positive coping styles were most commonly adopted. Nursing students who were undergraduates, only children, and chose nursing major involuntarily experienced higher stress levels than those who were junior college students, not only children, and chose nursing major voluntarily. Nursing undergraduates were more likely to use positive coping styles than junior college students. Male nursing students and those experiencing higher stress levels related to the “environment and equipment of the wards” and the “nature and content of the work” were more likely to use negative coping styles. Conclusion: Nursing educators should offer targeted guidance based on the stress reported during the clinical practicum and the demographic characteristics of the nursing students. Guidance should be provided to encourage nursing students to adopt effective coping strategies and reduce stress.","author":[{"dropping-particle":"","family":"Liu","given":"Jing","non-dropping-particle":"","parse-names":false,"suffix":""},{"dropping-particle":"","family":"Yang","given":"Yeqin","non-dropping-particle":"","parse-names":false,"suffix":""},{"dropping-particle":"","family":"Chen","given":"Junya","non-dropping-particle":"","parse-names":false,"suffix":""},{"dropping-particle":"","family":"Zhang","given":"Yi","non-dropping-particle":"","parse-names":false,"suffix":""},{"dropping-particle":"","family":"Zeng","given":"Yawei","non-dropping-particle":"","parse-names":false,"suffix":""},{"dropping-particle":"","family":"Li","given":"Jufang","non-dropping-particle":"","parse-names":false,"suffix":""}],"container-title":"International Journal of Nursing Sciences","id":"ITEM-1","issue":"2","issued":{"date-parts":[["2022"]]},"page":"222-229","publisher":"The authors","title":"Stress and coping styles among nursing students during the initial period of the clinical practicum: A cross-section study","type":"article-journal","volume":"9"},"uris":["http://www.mendeley.com/documents/?uuid=b0d55491-f902-4c72-b70a-ef49309f4e13"]},{"id":"ITEM-2","itemData":{"author":[{"dropping-particle":"","family":"Zafra","given":"Maria Dolores Onieva","non-dropping-particle":"","parse-names":false,"suffix":""},{"dropping-particle":"","family":"Munoz","given":"Juan Jose Fernandez","non-dropping-particle":"","parse-names":false,"suffix":""},{"dropping-particle":"","family":"Martinez","given":"Elia Fernandez","non-dropping-particle":"","parse-names":false,"suffix":""},{"dropping-particle":"","family":"Sanchez","given":"Francisco Jose Garcia","non-dropping-particle":"","parse-names":false,"suffix":""},{"dropping-particle":"","family":"Sanchez","given":"Ana Abreu","non-dropping-particle":"","parse-names":false,"suffix":""},{"dropping-particle":"","family":"Fernandez","given":"Maria Laura Parra","non-dropping-particle":"","parse-names":false,"suffix":""}],"container-title":"BMC Medical Education","id":"ITEM-2","issue":"370","issued":{"date-parts":[["2020"]]},"page":"1-9","publisher":"BMC Medical Education","title":"Anxiety, Perceived Stress and Coping Strategies in Nursing Students: A Cross-Sectional Correlational Descriptive Study","type":"article-journal","volume":"20"},"uris":["http://www.mendeley.com/documents/?uuid=bd222be8-72d7-46ff-b6f5-a6ee2fa813f5"]}],"mendeley":{"formattedCitation":"(Liu et al., 2022; Zafra et al., 2020)","manualFormatting":"Liu et al. (2022) and Zafra et al. (2020)","plainTextFormattedCitation":"(Liu et al., 2022; Zafra et al., 2020)","previouslyFormattedCitation":"(Liu et al., 2022; Zafra et al., 2020)"},"properties":{"noteIndex":0},"schema":"https://github.com/citation-style-language/schema/raw/master/csl-citation.json"}</w:instrText>
      </w:r>
      <w:r w:rsidR="00B02184" w:rsidRPr="00540B7B">
        <w:rPr>
          <w:rStyle w:val="Strong"/>
          <w:b w:val="0"/>
          <w:bCs w:val="0"/>
          <w:color w:val="000000" w:themeColor="text1"/>
        </w:rPr>
        <w:fldChar w:fldCharType="separate"/>
      </w:r>
      <w:r w:rsidR="00B02184" w:rsidRPr="00540B7B">
        <w:rPr>
          <w:rStyle w:val="Strong"/>
          <w:b w:val="0"/>
          <w:bCs w:val="0"/>
          <w:noProof/>
          <w:color w:val="000000" w:themeColor="text1"/>
        </w:rPr>
        <w:t>Liu et al. (2022) and Zafra et al. (2020)</w:t>
      </w:r>
      <w:r w:rsidR="00B02184" w:rsidRPr="00540B7B">
        <w:rPr>
          <w:rStyle w:val="Strong"/>
          <w:b w:val="0"/>
          <w:bCs w:val="0"/>
          <w:color w:val="000000" w:themeColor="text1"/>
        </w:rPr>
        <w:fldChar w:fldCharType="end"/>
      </w:r>
      <w:r w:rsidR="00B02184" w:rsidRPr="00540B7B">
        <w:rPr>
          <w:rStyle w:val="Strong"/>
          <w:b w:val="0"/>
          <w:bCs w:val="0"/>
          <w:color w:val="000000" w:themeColor="text1"/>
        </w:rPr>
        <w:t xml:space="preserve"> </w:t>
      </w:r>
      <w:r w:rsidRPr="00540B7B">
        <w:rPr>
          <w:rStyle w:val="Strong"/>
          <w:b w:val="0"/>
          <w:bCs w:val="0"/>
          <w:color w:val="000000" w:themeColor="text1"/>
        </w:rPr>
        <w:t xml:space="preserve">emphasized that students’ responses to stress are influenced by different personal and academic factors. In addition, </w:t>
      </w:r>
      <w:r w:rsidR="00B02184" w:rsidRPr="00540B7B">
        <w:rPr>
          <w:rStyle w:val="Strong"/>
          <w:b w:val="0"/>
          <w:bCs w:val="0"/>
          <w:color w:val="000000" w:themeColor="text1"/>
        </w:rPr>
        <w:fldChar w:fldCharType="begin" w:fldLock="1"/>
      </w:r>
      <w:r w:rsidR="00B02184" w:rsidRPr="00540B7B">
        <w:rPr>
          <w:rStyle w:val="Strong"/>
          <w:b w:val="0"/>
          <w:bCs w:val="0"/>
          <w:color w:val="000000" w:themeColor="text1"/>
        </w:rPr>
        <w:instrText>ADDIN CSL_CITATION {"citationItems":[{"id":"ITEM-1","itemData":{"DOI":"10.1186/s12912-024-01962-5","ISSN":"14726955","abstract":"Background: Understanding the stressors and coping strategies of nursing students in their first clinical training is important for improving student performance, helping students develop a professional identity and problem-solving skills, and improving the clinical teaching aspects of the curriculum in nursing programmes. While previous research have examined nurses’ sources of stress and coping styles in the Arab region, there is limited understanding of these stressors and coping strategies of nursing students within the UAE context thereby, highlighting the novelty and significance of the study. Methods: A qualitative study was conducted using semi-structured interviews. Overall 30 students who were undergoing their first clinical placement in Year 2 at the University of Sharjah between May and June 2022 were recruited. All interviews were recorded and transcribed verbatim and analyzed for themes. Results: During their first clinical training, nursing students are exposed to stress from different sources, including the clinical environment, unfriendly clinical tutors, feelings of disconnection, multiple expectations of clinical staff and patients, and gaps between the curriculum of theory classes and labatories skills and students’ clinical experiences. We extracted three main themes that described students’ stress and use of coping strategies during clinical training: (1) managing expectations; (2) theory-practice gap; and (3) learning to cope. Learning to cope, included two subthemes: positive coping strategies and negative coping strategies. Conclusions: This qualitative study sheds light from the students viewpoint about the intricate interplay between managing expectations, theory practice gap and learning to cope. Therefore, it is imperative for nursing faculty, clinical agencies and curriculum planners to ensure maximum learning in the clinical by recognizing the significance of the stressors encountered and help students develop positive coping strategies to manage the clinical stressors encountered. Further research is required look at the perspective of clinical stressors from clinical tutors who supervise students during their first clinical practicum.","author":[{"dropping-particle":"","family":"Dias","given":"Jacqueline Maria","non-dropping-particle":"","parse-names":false,"suffix":""},{"dropping-particle":"","family":"Subu","given":"Muhammad Arsyad","non-dropping-particle":"","parse-names":false,"suffix":""},{"dropping-particle":"","family":"Al-Yateem","given":"Nabeel","non-dropping-particle":"","parse-names":false,"suffix":""},{"dropping-particle":"","family":"Ahmed","given":"Fatma Refaat","non-dropping-particle":"","parse-names":false,"suffix":""},{"dropping-particle":"","family":"Rahman","given":"Syed Azizur","non-dropping-particle":"","parse-names":false,"suffix":""},{"dropping-particle":"","family":"Abraham","given":"Mini Sara","non-dropping-particle":"","parse-names":false,"suffix":""},{"dropping-particle":"","family":"Forootan","given":"Sareh Mirza","non-dropping-particle":"","parse-names":false,"suffix":""},{"dropping-particle":"","family":"Sarkhosh","given":"Farzaneh Ahmad","non-dropping-particle":"","parse-names":false,"suffix":""},{"dropping-particle":"","family":"Javanbakh","given":"Fatemeh","non-dropping-particle":"","parse-names":false,"suffix":""}],"container-title":"BMC Nursing","id":"ITEM-1","issue":"1","issued":{"date-parts":[["2024"]]},"page":"1-11","title":"Nursing students’ stressors and coping strategies during their first clinical training: a qualitative study in the United Arab Emirates","type":"article-journal","volume":"23"},"uris":["http://www.mendeley.com/documents/?uuid=8bf8022b-4e2d-4258-974c-256e2150444c"]}],"mendeley":{"formattedCitation":"(Dias et al., 2024)","manualFormatting":"Dias et al. (2024)","plainTextFormattedCitation":"(Dias et al., 2024)","previouslyFormattedCitation":"(Dias et al., 2024)"},"properties":{"noteIndex":0},"schema":"https://github.com/citation-style-language/schema/raw/master/csl-citation.json"}</w:instrText>
      </w:r>
      <w:r w:rsidR="00B02184" w:rsidRPr="00540B7B">
        <w:rPr>
          <w:rStyle w:val="Strong"/>
          <w:b w:val="0"/>
          <w:bCs w:val="0"/>
          <w:color w:val="000000" w:themeColor="text1"/>
        </w:rPr>
        <w:fldChar w:fldCharType="separate"/>
      </w:r>
      <w:r w:rsidR="00B02184" w:rsidRPr="00540B7B">
        <w:rPr>
          <w:rStyle w:val="Strong"/>
          <w:b w:val="0"/>
          <w:bCs w:val="0"/>
          <w:noProof/>
          <w:color w:val="000000" w:themeColor="text1"/>
        </w:rPr>
        <w:t>Dias et al. (2024)</w:t>
      </w:r>
      <w:r w:rsidR="00B02184" w:rsidRPr="00540B7B">
        <w:rPr>
          <w:rStyle w:val="Strong"/>
          <w:b w:val="0"/>
          <w:bCs w:val="0"/>
          <w:color w:val="000000" w:themeColor="text1"/>
        </w:rPr>
        <w:fldChar w:fldCharType="end"/>
      </w:r>
      <w:r w:rsidR="00B02184" w:rsidRPr="00540B7B">
        <w:rPr>
          <w:rStyle w:val="Strong"/>
          <w:b w:val="0"/>
          <w:bCs w:val="0"/>
          <w:color w:val="000000" w:themeColor="text1"/>
        </w:rPr>
        <w:t xml:space="preserve"> </w:t>
      </w:r>
      <w:r w:rsidRPr="00540B7B">
        <w:rPr>
          <w:rStyle w:val="Strong"/>
          <w:b w:val="0"/>
          <w:bCs w:val="0"/>
          <w:color w:val="000000" w:themeColor="text1"/>
        </w:rPr>
        <w:t>noted that the clinical learning environment can either support or challenge students’ adjustment. These conditions show that the issue must be examined within the actual academic environment where students experience these demands.</w:t>
      </w:r>
    </w:p>
    <w:p w14:paraId="2E36278C" w14:textId="258F6249" w:rsidR="00CF4564"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Although studies have already explored stress and coping among nursing students, there remains a need to examine these concerns in relation to academic emotion regulation, particularly in a specific local setting. Existing studies have often focused on general stress, anxiety, and well-being, but fewer have examined how nursing students’ coping strategies are related to the way they manage academic emotions</w:t>
      </w:r>
      <w:r w:rsidR="00B02184" w:rsidRPr="00540B7B">
        <w:rPr>
          <w:rStyle w:val="Strong"/>
          <w:b w:val="0"/>
          <w:bCs w:val="0"/>
          <w:color w:val="000000" w:themeColor="text1"/>
        </w:rPr>
        <w:t xml:space="preserve"> </w:t>
      </w:r>
      <w:r w:rsidR="00B02184" w:rsidRPr="00540B7B">
        <w:rPr>
          <w:rStyle w:val="Strong"/>
          <w:b w:val="0"/>
          <w:bCs w:val="0"/>
          <w:color w:val="000000" w:themeColor="text1"/>
        </w:rPr>
        <w:fldChar w:fldCharType="begin" w:fldLock="1"/>
      </w:r>
      <w:r w:rsidR="00D56A1F">
        <w:rPr>
          <w:rStyle w:val="Strong"/>
          <w:b w:val="0"/>
          <w:bCs w:val="0"/>
          <w:color w:val="000000" w:themeColor="text1"/>
        </w:rPr>
        <w:instrText>ADDIN CSL_CITATION {"citationItems":[{"id":"ITEM-1","itemData":{"DOI":"10.31586/wjnr.2024.1072","ISSN":"14726955","abstract":"Aim: Explore the mediating role of cognitive emotion regulation strategies used by nursing students between academic anxiety and procrastination. Design: A descriptive correlational design was used. Setting: This study was carried out in the faculty of nursing at the University of Alexandria. Sample: The participants in this study were all students enrolled in emergency nursing during the second semester of the academic year 2021–2022 and a convenience sampling of 654 nursing students. The Sobel test was used as a statistical method to determine the significance of a mediation effect by assessing whether the relationship between perceived academic anxiety and procrastination was significantly reduced when cognitive emotion regulation was included, using coefficients and standard errors from regression models to calculate the test statistic. Tools: Academic Anxiety Scale, Academic Procrastination Scale, and Cognitive Emotion Regulation Questionnaire were used to collect data. Results: The study found that 46.5% of students reported high anxiety levels, with 40.1% perceiving moderate anxiety and only 11.3% experiencing low anxiety. Moreover, 80.4% of nursing students showed moderate academic procrastination. There is a positive correlation between procrastination and academic anxiety, with Adaptive and maladaptive coping strategies mediating this relationship, according to the Sobel test. Conclusion: Based on the results, it can be concluded that there is a complex causal and effect relationship between academic anxiety and procrastination. Nursing students may resort to academic procrastination as a means of coping. Therefore, reducing anxiety, correcting maladaptive behaviors, and enhancing adaptive cognitive and emotional regulation strategies could effectively reduce academic procrastination.","author":[{"dropping-particle":"","family":"Espulgar","given":"Kenneth Dwight","non-dropping-particle":"","parse-names":false,"suffix":""},{"dropping-particle":"","family":"Faeldan","given":"Zyrill Jovelle","non-dropping-particle":"","parse-names":false,"suffix":""},{"dropping-particle":"","family":"Ferre","given":"Christian Joy","non-dropping-particle":"","parse-names":false,"suffix":""},{"dropping-particle":"","family":"Frago","given":"Julie Ann","non-dropping-particle":"","parse-names":false,"suffix":""},{"dropping-particle":"","family":"Galanao","given":"Andrea Fatima","non-dropping-particle":"","parse-names":false,"suffix":""},{"dropping-particle":"","family":"Narvaez","given":"Roison Andro","non-dropping-particle":"","parse-names":false,"suffix":""},{"dropping-particle":"","family":"Macaraeg","given":"Emmy","non-dropping-particle":"","parse-names":false,"suffix":""},{"dropping-particle":"","family":"Antonio","given":"Rolando","non-dropping-particle":"","parse-names":false,"suffix":""},{"dropping-particle":"","family":"Gause","given":"Gopolang","non-dropping-particle":"","parse-names":false,"suffix":""},{"dropping-particle":"","family":"Sehularo","given":"Leepile Alfred","non-dropping-particle":"","parse-names":false,"suffix":""},{"dropping-particle":"","family":"Matsipane","given":"Molekodi Jacob","non-dropping-particle":"","parse-names":false,"suffix":""},{"dropping-particle":"","family":"Ghattas","given":"Amina Hemida Salem","non-dropping-particle":"","parse-names":false,"suffix":""},{"dropping-particle":"","family":"El-Ashry","given":"Ayman Mohamed","non-dropping-particle":"","parse-names":false,"suffix":""}],"container-title":"BMC Nursing","id":"ITEM-1","issue":"1","issued":{"date-parts":[["2024"]]},"page":"64-72","title":"Coping strategies used by undergraduate first-year nursing students during transition from basic to higher education: a qualitative study","type":"article-journal","volume":"23"},"uris":["http://www.mendeley.com/documents/?uuid=4184b21d-767e-481c-86a6-849b29d8729c"]},{"id":"ITEM-2","itemData":{"author":[{"dropping-particle":"","family":"Zafra","given":"Maria Dolores Onieva","non-dropping-particle":"","parse-names":false,"suffix":""},{"dropping-particle":"","family":"Munoz","given":"Juan Jose Fernandez","non-dropping-particle":"","parse-names":false,"suffix":""},{"dropping-particle":"","family":"Martinez","given":"Elia Fernandez","non-dropping-particle":"","parse-names":false,"suffix":""},{"dropping-particle":"","family":"Sanchez","given":"Francisco Jose Garcia","non-dropping-particle":"","parse-names":false,"suffix":""},{"dropping-particle":"","family":"Sanchez","given":"Ana Abreu","non-dropping-particle":"","parse-names":false,"suffix":""},{"dropping-particle":"","family":"Fernandez","given":"Maria Laura Parra","non-dropping-particle":"","parse-names":false,"suffix":""}],"container-title":"BMC Medical Education","id":"ITEM-2","issue":"370","issued":{"date-parts":[["2020"]]},"page":"1-9","publisher":"BMC Medical Education","title":"Anxiety, Perceived Stress and Coping Strategies in Nursing Students: A Cross-Sectional Correlational Descriptive Study","type":"article-journal","volume":"20"},"uris":["http://www.mendeley.com/documents/?uuid=bd222be8-72d7-46ff-b6f5-a6ee2fa813f5"]}],"mendeley":{"formattedCitation":"(Espulgar et al., 2024; Zafra et al., 2020)","manualFormatting":"(Espulgar et al., 2024; Zafra et al., 2020)","plainTextFormattedCitation":"(Espulgar et al., 2024; Zafra et al., 2020)","previouslyFormattedCitation":"(Espulgar et al., 2024; Zafra et al., 2020)"},"properties":{"noteIndex":0},"schema":"https://github.com/citation-style-language/schema/raw/master/csl-citation.json"}</w:instrText>
      </w:r>
      <w:r w:rsidR="00B02184" w:rsidRPr="00540B7B">
        <w:rPr>
          <w:rStyle w:val="Strong"/>
          <w:b w:val="0"/>
          <w:bCs w:val="0"/>
          <w:color w:val="000000" w:themeColor="text1"/>
        </w:rPr>
        <w:fldChar w:fldCharType="separate"/>
      </w:r>
      <w:r w:rsidR="00B02184" w:rsidRPr="00540B7B">
        <w:rPr>
          <w:rStyle w:val="Strong"/>
          <w:b w:val="0"/>
          <w:bCs w:val="0"/>
          <w:noProof/>
          <w:color w:val="000000" w:themeColor="text1"/>
        </w:rPr>
        <w:t>(Espulgar et al., 2024; Zafra et al., 2020)</w:t>
      </w:r>
      <w:r w:rsidR="00B02184" w:rsidRPr="00540B7B">
        <w:rPr>
          <w:rStyle w:val="Strong"/>
          <w:b w:val="0"/>
          <w:bCs w:val="0"/>
          <w:color w:val="000000" w:themeColor="text1"/>
        </w:rPr>
        <w:fldChar w:fldCharType="end"/>
      </w:r>
      <w:r w:rsidRPr="00540B7B">
        <w:rPr>
          <w:rStyle w:val="Strong"/>
          <w:b w:val="0"/>
          <w:bCs w:val="0"/>
          <w:color w:val="000000" w:themeColor="text1"/>
        </w:rPr>
        <w:t xml:space="preserve">. </w:t>
      </w:r>
      <w:r w:rsidR="00993F61" w:rsidRPr="00540B7B">
        <w:rPr>
          <w:rStyle w:val="Strong"/>
          <w:b w:val="0"/>
          <w:bCs w:val="0"/>
          <w:color w:val="000000" w:themeColor="text1"/>
        </w:rPr>
        <w:fldChar w:fldCharType="begin" w:fldLock="1"/>
      </w:r>
      <w:r w:rsidR="00EB2727" w:rsidRPr="00540B7B">
        <w:rPr>
          <w:rStyle w:val="Strong"/>
          <w:b w:val="0"/>
          <w:bCs w:val="0"/>
          <w:color w:val="000000" w:themeColor="text1"/>
        </w:rPr>
        <w:instrText>ADDIN CSL_CITATION {"citationItems":[{"id":"ITEM-1","itemData":{"DOI":"10.1186/s12912-024-02302-3","ISSN":"14726955","abstract":"Aim: Explore the mediating role of cognitive emotion regulation strategies used by nursing students between academic anxiety and procrastination. Design: A descriptive correlational design was used. Setting: This study was carried out in the faculty of nursing at the University of Alexandria. Sample: The participants in this study were all students enrolled in emergency nursing during the second semester of the academic year 2021–2022 and a convenience sampling of 654 nursing students. The Sobel test was used as a statistical method to determine the significance of a mediation effect by assessing whether the relationship between perceived academic anxiety and procrastination was significantly reduced when cognitive emotion regulation was included, using coefficients and standard errors from regression models to calculate the test statistic. Tools: Academic Anxiety Scale, Academic Procrastination Scale, and Cognitive Emotion Regulation Questionnaire were used to collect data. Results: The study found that 46.5% of students reported high anxiety levels, with 40.1% perceiving moderate anxiety and only 11.3% experiencing low anxiety. Moreover, 80.4% of nursing students showed moderate academic procrastination. There is a positive correlation between procrastination and academic anxiety, with Adaptive and maladaptive coping strategies mediating this relationship, according to the Sobel test. Conclusion: Based on the results, it can be concluded that there is a complex causal and effect relationship between academic anxiety and procrastination. Nursing students may resort to academic procrastination as a means of coping. Therefore, reducing anxiety, correcting maladaptive behaviors, and enhancing adaptive cognitive and emotional regulation strategies could effectively reduce academic procrastination.","author":[{"dropping-particle":"","family":"Ghattas","given":"Amina Hemida Salem","non-dropping-particle":"","parse-names":false,"suffix":""},{"dropping-particle":"","family":"El-Ashry","given":"Ayman Mohamed","non-dropping-particle":"","parse-names":false,"suffix":""}],"container-title":"BMC Nursing","id":"ITEM-1","issue":"1","issued":{"date-parts":[["2024"]]},"title":"Perceived academic anxiety and procrastination among emergency nursing students: the mediating role of cognitive emotion regulation","type":"article-journal","volume":"23"},"uris":["http://www.mendeley.com/documents/?uuid=7a149a5a-350d-4cd4-a98d-6978c8933d96"]}],"mendeley":{"formattedCitation":"(Ghattas &amp; El-Ashry, 2024)","manualFormatting":"Ghattas and El-Ashry (2024)","plainTextFormattedCitation":"(Ghattas &amp; El-Ashry, 2024)","previouslyFormattedCitation":"(Ghattas &amp; El-Ashry, 2024)"},"properties":{"noteIndex":0},"schema":"https://github.com/citation-style-language/schema/raw/master/csl-citation.json"}</w:instrText>
      </w:r>
      <w:r w:rsidR="00993F61" w:rsidRPr="00540B7B">
        <w:rPr>
          <w:rStyle w:val="Strong"/>
          <w:b w:val="0"/>
          <w:bCs w:val="0"/>
          <w:color w:val="000000" w:themeColor="text1"/>
        </w:rPr>
        <w:fldChar w:fldCharType="separate"/>
      </w:r>
      <w:r w:rsidR="00993F61" w:rsidRPr="00540B7B">
        <w:rPr>
          <w:rStyle w:val="Strong"/>
          <w:b w:val="0"/>
          <w:bCs w:val="0"/>
          <w:noProof/>
          <w:color w:val="000000" w:themeColor="text1"/>
        </w:rPr>
        <w:t>Ghattas and El-Ashry (2024)</w:t>
      </w:r>
      <w:r w:rsidR="00993F61" w:rsidRPr="00540B7B">
        <w:rPr>
          <w:rStyle w:val="Strong"/>
          <w:b w:val="0"/>
          <w:bCs w:val="0"/>
          <w:color w:val="000000" w:themeColor="text1"/>
        </w:rPr>
        <w:fldChar w:fldCharType="end"/>
      </w:r>
      <w:r w:rsidR="00ED09EB" w:rsidRPr="00540B7B">
        <w:rPr>
          <w:rStyle w:val="Strong"/>
          <w:b w:val="0"/>
          <w:bCs w:val="0"/>
          <w:color w:val="000000" w:themeColor="text1"/>
        </w:rPr>
        <w:t xml:space="preserve"> </w:t>
      </w:r>
      <w:r w:rsidRPr="00540B7B">
        <w:rPr>
          <w:rStyle w:val="Strong"/>
          <w:b w:val="0"/>
          <w:bCs w:val="0"/>
          <w:color w:val="000000" w:themeColor="text1"/>
        </w:rPr>
        <w:t>also highlighted the importance of studying emotional concerns in relation to students’ academic experiences. This indicates the need for further investigation, especially in localized nursing education settings.</w:t>
      </w:r>
    </w:p>
    <w:p w14:paraId="42FC14C6" w14:textId="11B978BB" w:rsidR="00B64921"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 xml:space="preserve">There is also limited local evidence on this topic among nursing students in private higher education institutions in Southern Leyte. Students in this setting may experience unique academic, social, and environmental conditions that influence how they respond to academic and clinical demands. These may include provincial learning conditions, varying clinical exposure, socio-economic concerns, family expectations, and community </w:t>
      </w:r>
      <w:r w:rsidRPr="00540B7B">
        <w:rPr>
          <w:rStyle w:val="Strong"/>
          <w:b w:val="0"/>
          <w:bCs w:val="0"/>
          <w:color w:val="000000" w:themeColor="text1"/>
        </w:rPr>
        <w:lastRenderedPageBreak/>
        <w:t>influences. Since most existing studies were conducted in different settings, their findings may not fully reflect the experiences of nursing students</w:t>
      </w:r>
      <w:r w:rsidR="00E3682F" w:rsidRPr="00540B7B">
        <w:rPr>
          <w:rStyle w:val="Strong"/>
          <w:b w:val="0"/>
          <w:bCs w:val="0"/>
          <w:color w:val="000000" w:themeColor="text1"/>
        </w:rPr>
        <w:t xml:space="preserve"> in</w:t>
      </w:r>
      <w:r w:rsidR="00775CB5" w:rsidRPr="00540B7B">
        <w:rPr>
          <w:rStyle w:val="Strong"/>
          <w:b w:val="0"/>
          <w:bCs w:val="0"/>
          <w:color w:val="000000" w:themeColor="text1"/>
        </w:rPr>
        <w:t xml:space="preserve"> private higher education institution</w:t>
      </w:r>
      <w:r w:rsidRPr="00540B7B">
        <w:rPr>
          <w:rStyle w:val="Strong"/>
          <w:b w:val="0"/>
          <w:bCs w:val="0"/>
          <w:color w:val="000000" w:themeColor="text1"/>
        </w:rPr>
        <w:t xml:space="preserve"> in Southern Leyte.</w:t>
      </w:r>
    </w:p>
    <w:p w14:paraId="33AFB40C" w14:textId="3826C90F" w:rsidR="00CF4564"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Conducting this study is therefore necessary to provide context-specific evidence on the coping strategies and academic emotion regulation of nursing students in a private higher education institution in Southern Leyte. The findings may help identify student needs and provide a basis for developing support programs, academic interventions, and mental health initiatives. These efforts may help nursing students manage academic and clinical demands more effectively, strengthen their emotional well-being, and improve their readiness for future professional practice.</w:t>
      </w:r>
    </w:p>
    <w:p w14:paraId="46D72C8A" w14:textId="3287735C" w:rsidR="00184D9B" w:rsidRPr="00540B7B" w:rsidRDefault="00CF4564" w:rsidP="009C77E5">
      <w:pPr>
        <w:pStyle w:val="NormalWeb"/>
        <w:spacing w:before="240" w:beforeAutospacing="0" w:after="240" w:afterAutospacing="0"/>
        <w:jc w:val="both"/>
        <w:rPr>
          <w:rStyle w:val="Strong"/>
          <w:b w:val="0"/>
          <w:bCs w:val="0"/>
          <w:color w:val="000000" w:themeColor="text1"/>
        </w:rPr>
      </w:pPr>
      <w:r w:rsidRPr="00540B7B">
        <w:rPr>
          <w:rStyle w:val="Strong"/>
          <w:b w:val="0"/>
          <w:bCs w:val="0"/>
          <w:color w:val="000000" w:themeColor="text1"/>
        </w:rPr>
        <w:t>Thus, this study aims to examine the coping strategies and academic emotion regulation among nursing students in a private higher education institution in Southern Leyte during the academic year 2025–2026. By investigating these variables, the study seeks to provide relevant information that may guide the development of student support programs and institutional interventions for nursing students.</w:t>
      </w:r>
    </w:p>
    <w:p w14:paraId="164DF721" w14:textId="5B194111" w:rsidR="0085765C" w:rsidRDefault="00184D9B" w:rsidP="0085765C">
      <w:pPr>
        <w:spacing w:before="240" w:after="240"/>
        <w:jc w:val="left"/>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rPr>
        <w:t>METHODOLOGY</w:t>
      </w:r>
    </w:p>
    <w:p w14:paraId="06B0D3D3" w14:textId="323624C0" w:rsidR="0085765C" w:rsidRDefault="00D228EE" w:rsidP="0085765C">
      <w:pPr>
        <w:spacing w:before="240" w:after="240"/>
        <w:rPr>
          <w:rFonts w:ascii="Times New Roman" w:hAnsi="Times New Roman" w:cs="Times New Roman"/>
          <w:b/>
          <w:color w:val="000000" w:themeColor="text1"/>
          <w:sz w:val="24"/>
          <w:szCs w:val="24"/>
        </w:rPr>
      </w:pPr>
      <w:bookmarkStart w:id="1" w:name="_Hlk226633470"/>
      <w:r>
        <w:rPr>
          <w:rFonts w:ascii="Times New Roman" w:hAnsi="Times New Roman" w:cs="Times New Roman"/>
          <w:b/>
          <w:color w:val="000000" w:themeColor="text1"/>
          <w:sz w:val="24"/>
          <w:szCs w:val="24"/>
        </w:rPr>
        <w:t xml:space="preserve">Research </w:t>
      </w:r>
      <w:r w:rsidR="00184D9B" w:rsidRPr="00540B7B">
        <w:rPr>
          <w:rFonts w:ascii="Times New Roman" w:hAnsi="Times New Roman" w:cs="Times New Roman"/>
          <w:b/>
          <w:color w:val="000000" w:themeColor="text1"/>
          <w:sz w:val="24"/>
          <w:szCs w:val="24"/>
        </w:rPr>
        <w:t>Design</w:t>
      </w:r>
      <w:r w:rsidR="00184D9B" w:rsidRPr="00540B7B">
        <w:rPr>
          <w:rFonts w:ascii="Times New Roman" w:hAnsi="Times New Roman" w:cs="Times New Roman"/>
          <w:color w:val="000000" w:themeColor="text1"/>
          <w:sz w:val="24"/>
          <w:szCs w:val="24"/>
        </w:rPr>
        <w:t xml:space="preserve"> </w:t>
      </w:r>
      <w:bookmarkEnd w:id="1"/>
    </w:p>
    <w:p w14:paraId="3C53C896" w14:textId="55FCC4D1" w:rsidR="00184D9B" w:rsidRDefault="00184D9B" w:rsidP="0085765C">
      <w:pPr>
        <w:spacing w:before="240" w:after="240"/>
        <w:rPr>
          <w:rFonts w:ascii="Times New Roman" w:eastAsia="Arial" w:hAnsi="Times New Roman" w:cs="Times New Roman"/>
          <w:color w:val="000000" w:themeColor="text1"/>
          <w:sz w:val="24"/>
          <w:szCs w:val="24"/>
        </w:rPr>
      </w:pPr>
      <w:r w:rsidRPr="00540B7B">
        <w:rPr>
          <w:rFonts w:ascii="Times New Roman" w:eastAsia="Arial" w:hAnsi="Times New Roman" w:cs="Times New Roman"/>
          <w:color w:val="000000" w:themeColor="text1"/>
          <w:sz w:val="24"/>
          <w:szCs w:val="24"/>
        </w:rPr>
        <w:t>The study is quantitative research that used descriptive and correlational methods. It determined the profile, the perceived level of academic emotion regulation</w:t>
      </w:r>
      <w:r w:rsidRPr="00540B7B">
        <w:rPr>
          <w:rFonts w:ascii="Times New Roman" w:hAnsi="Times New Roman" w:cs="Times New Roman"/>
          <w:color w:val="000000" w:themeColor="text1"/>
          <w:sz w:val="24"/>
          <w:szCs w:val="24"/>
        </w:rPr>
        <w:t xml:space="preserve"> and coping strategies of nursing students studying at The College of Maasin.</w:t>
      </w:r>
      <w:r w:rsidR="00745864" w:rsidRPr="00540B7B">
        <w:rPr>
          <w:rFonts w:ascii="Times New Roman" w:hAnsi="Times New Roman" w:cs="Times New Roman"/>
          <w:color w:val="000000" w:themeColor="text1"/>
          <w:sz w:val="24"/>
          <w:szCs w:val="24"/>
        </w:rPr>
        <w:t xml:space="preserve"> </w:t>
      </w:r>
      <w:r w:rsidRPr="00540B7B">
        <w:rPr>
          <w:rFonts w:ascii="Times New Roman" w:eastAsia="Arial" w:hAnsi="Times New Roman" w:cs="Times New Roman"/>
          <w:color w:val="000000" w:themeColor="text1"/>
          <w:sz w:val="24"/>
          <w:szCs w:val="24"/>
        </w:rPr>
        <w:t xml:space="preserve">As posited by </w:t>
      </w:r>
      <w:r w:rsidRPr="00540B7B">
        <w:rPr>
          <w:rFonts w:ascii="Times New Roman" w:eastAsia="Arial" w:hAnsi="Times New Roman" w:cs="Times New Roman"/>
          <w:color w:val="000000" w:themeColor="text1"/>
          <w:sz w:val="24"/>
          <w:szCs w:val="24"/>
        </w:rPr>
        <w:fldChar w:fldCharType="begin" w:fldLock="1"/>
      </w:r>
      <w:r w:rsidRPr="00540B7B">
        <w:rPr>
          <w:rFonts w:ascii="Times New Roman" w:eastAsia="Arial" w:hAnsi="Times New Roman" w:cs="Times New Roman"/>
          <w:color w:val="000000" w:themeColor="text1"/>
          <w:sz w:val="24"/>
          <w:szCs w:val="24"/>
        </w:rPr>
        <w:instrText>ADDIN CSL_CITATION {"citationItems":[{"id":"ITEM-1","itemData":{"DOI":"10.1016/j.system.2018.03.010","ISSN":"0346251X","abstract":"Developmental research in L2 pragmatics addresses two essential issues: changes within the L2 pragmatics systems and influences on the systems (Bardovi-Harlig, 1999). These two issues can be best examined through the lens of longitudinal research, which by design allows us to observe how L2 learners change over time and helps establish causal relationships between change and time. Although the body of longitudinal studies describing changes has expanded in the past decade, not many studies have documented influences on the changing pragmatic systems. Existing studies are largely descriptive rather than explanatory, and do not explain how and why changes occurred. To address this limitation, this paper presents mixed methods research as a promising approach. By integrating quantitative and qualitative data analyses in a single study, mixed methods research can reveal patterns of change over time, and at the same time help reveal individual and contextual factors influencing the observed patterns. Using example studies, this paper illustrates how mixed methods approaches can contribute to a more comprehensive understanding of pragmatic development.","author":[{"dropping-particle":"","family":"Taguchi","given":"Naoko","non-dropping-particle":"","parse-names":false,"suffix":""}],"container-title":"System","id":"ITEM-1","issued":{"date-parts":[["2018"]]},"page":"23-32","publisher":"Elsevier Ltd","title":"Description and explanation of pragmatic development: Quantitative, qualitative, and mixed methods research","type":"article-journal","volume":"75"},"uris":["http://www.mendeley.com/documents/?uuid=bc8621c2-36a2-4560-a4d1-023b7ae65ec7"]}],"mendeley":{"formattedCitation":"(Taguchi, 2018)","manualFormatting":"Taguchi (2018)","plainTextFormattedCitation":"(Taguchi, 2018)","previouslyFormattedCitation":"(Taguchi, 2018)"},"properties":{"noteIndex":0},"schema":"https://github.com/citation-style-language/schema/raw/master/csl-citation.json"}</w:instrText>
      </w:r>
      <w:r w:rsidRPr="00540B7B">
        <w:rPr>
          <w:rFonts w:ascii="Times New Roman" w:eastAsia="Arial" w:hAnsi="Times New Roman" w:cs="Times New Roman"/>
          <w:color w:val="000000" w:themeColor="text1"/>
          <w:sz w:val="24"/>
          <w:szCs w:val="24"/>
        </w:rPr>
        <w:fldChar w:fldCharType="separate"/>
      </w:r>
      <w:r w:rsidRPr="00540B7B">
        <w:rPr>
          <w:rFonts w:ascii="Times New Roman" w:eastAsia="Arial" w:hAnsi="Times New Roman" w:cs="Times New Roman"/>
          <w:noProof/>
          <w:color w:val="000000" w:themeColor="text1"/>
          <w:sz w:val="24"/>
          <w:szCs w:val="24"/>
        </w:rPr>
        <w:t>Taguchi (2018)</w:t>
      </w:r>
      <w:r w:rsidRPr="00540B7B">
        <w:rPr>
          <w:rFonts w:ascii="Times New Roman" w:eastAsia="Arial" w:hAnsi="Times New Roman" w:cs="Times New Roman"/>
          <w:color w:val="000000" w:themeColor="text1"/>
          <w:sz w:val="24"/>
          <w:szCs w:val="24"/>
        </w:rPr>
        <w:fldChar w:fldCharType="end"/>
      </w:r>
      <w:r w:rsidRPr="00540B7B">
        <w:rPr>
          <w:rFonts w:ascii="Times New Roman" w:eastAsia="Arial" w:hAnsi="Times New Roman" w:cs="Times New Roman"/>
          <w:color w:val="000000" w:themeColor="text1"/>
          <w:sz w:val="24"/>
          <w:szCs w:val="24"/>
        </w:rPr>
        <w:t xml:space="preserve"> , Bloomfield &amp; Fisher (2019), and </w:t>
      </w:r>
      <w:proofErr w:type="spellStart"/>
      <w:r w:rsidRPr="00540B7B">
        <w:rPr>
          <w:rFonts w:ascii="Times New Roman" w:eastAsia="Arial" w:hAnsi="Times New Roman" w:cs="Times New Roman"/>
          <w:color w:val="000000" w:themeColor="text1"/>
          <w:sz w:val="24"/>
          <w:szCs w:val="24"/>
        </w:rPr>
        <w:t>Remler</w:t>
      </w:r>
      <w:proofErr w:type="spellEnd"/>
      <w:r w:rsidRPr="00540B7B">
        <w:rPr>
          <w:rFonts w:ascii="Times New Roman" w:eastAsia="Arial" w:hAnsi="Times New Roman" w:cs="Times New Roman"/>
          <w:color w:val="000000" w:themeColor="text1"/>
          <w:sz w:val="24"/>
          <w:szCs w:val="24"/>
        </w:rPr>
        <w:t xml:space="preserve"> &amp; </w:t>
      </w:r>
      <w:proofErr w:type="spellStart"/>
      <w:r w:rsidRPr="00540B7B">
        <w:rPr>
          <w:rFonts w:ascii="Times New Roman" w:eastAsia="Arial" w:hAnsi="Times New Roman" w:cs="Times New Roman"/>
          <w:color w:val="000000" w:themeColor="text1"/>
          <w:sz w:val="24"/>
          <w:szCs w:val="24"/>
        </w:rPr>
        <w:t>Ryzin</w:t>
      </w:r>
      <w:proofErr w:type="spellEnd"/>
      <w:r w:rsidRPr="00540B7B">
        <w:rPr>
          <w:rFonts w:ascii="Times New Roman" w:eastAsia="Arial" w:hAnsi="Times New Roman" w:cs="Times New Roman"/>
          <w:color w:val="000000" w:themeColor="text1"/>
          <w:sz w:val="24"/>
          <w:szCs w:val="24"/>
        </w:rPr>
        <w:t xml:space="preserve"> (2021), descriptive research provides an avenue for closer observation of facts and essential knowledge about people's experiences. In addition, the correlational research design examines relationships between variables without manipulating them</w:t>
      </w:r>
      <w:r w:rsidR="00C464DE">
        <w:rPr>
          <w:rFonts w:ascii="Times New Roman" w:eastAsia="Arial" w:hAnsi="Times New Roman" w:cs="Times New Roman"/>
          <w:color w:val="000000" w:themeColor="text1"/>
          <w:sz w:val="24"/>
          <w:szCs w:val="24"/>
        </w:rPr>
        <w:t>.</w:t>
      </w:r>
    </w:p>
    <w:p w14:paraId="1C20FFFE" w14:textId="151F5353" w:rsidR="00184D9B" w:rsidRPr="00540B7B" w:rsidRDefault="007F62E7" w:rsidP="00540B7B">
      <w:pPr>
        <w:tabs>
          <w:tab w:val="left" w:pos="2460"/>
        </w:tabs>
        <w:spacing w:before="240" w:after="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Research Locale and </w:t>
      </w:r>
      <w:r w:rsidR="00184D9B" w:rsidRPr="00540B7B">
        <w:rPr>
          <w:rFonts w:ascii="Times New Roman" w:hAnsi="Times New Roman" w:cs="Times New Roman"/>
          <w:b/>
          <w:color w:val="000000" w:themeColor="text1"/>
          <w:sz w:val="24"/>
          <w:szCs w:val="24"/>
        </w:rPr>
        <w:t>Respondents</w:t>
      </w:r>
      <w:r w:rsidR="00184D9B" w:rsidRPr="00540B7B">
        <w:rPr>
          <w:rFonts w:ascii="Times New Roman" w:hAnsi="Times New Roman" w:cs="Times New Roman"/>
          <w:b/>
          <w:color w:val="000000" w:themeColor="text1"/>
          <w:sz w:val="24"/>
          <w:szCs w:val="24"/>
        </w:rPr>
        <w:tab/>
      </w:r>
    </w:p>
    <w:p w14:paraId="78E857C7" w14:textId="77777777" w:rsidR="009972EA" w:rsidRPr="009972EA" w:rsidRDefault="009972EA" w:rsidP="009972EA">
      <w:pPr>
        <w:tabs>
          <w:tab w:val="left" w:pos="720"/>
        </w:tabs>
        <w:spacing w:before="240" w:after="240"/>
        <w:rPr>
          <w:rFonts w:ascii="Times New Roman" w:eastAsia="Arial" w:hAnsi="Times New Roman" w:cs="Times New Roman"/>
          <w:color w:val="000000" w:themeColor="text1"/>
          <w:sz w:val="24"/>
          <w:szCs w:val="24"/>
        </w:rPr>
      </w:pPr>
      <w:r w:rsidRPr="009972EA">
        <w:rPr>
          <w:rFonts w:ascii="Times New Roman" w:eastAsia="Arial" w:hAnsi="Times New Roman" w:cs="Times New Roman"/>
          <w:color w:val="000000" w:themeColor="text1"/>
          <w:sz w:val="24"/>
          <w:szCs w:val="24"/>
        </w:rPr>
        <w:t>The participants of this study consisted of first-year, second-year, and third-year students enrolled in the Bachelor of Science in Nursing program at The College of Maasin during the Academic Year 2025–2026. These students were selected as respondents because they are actively engaged in the academic and clinical requirements inherent in nursing education. Such requirements encompass examinations, laboratory exercises, return demonstrations, clinical exposures, extensive academic tasks, and adaptation to the rigorous nursing learning environment. Given their continuous exposure to these academic and clinical demands, they were deemed suitable participants for investigating coping strategies and academic emotion regulation.</w:t>
      </w:r>
    </w:p>
    <w:p w14:paraId="36393F06" w14:textId="77777777" w:rsidR="009972EA" w:rsidRPr="009972EA" w:rsidRDefault="009972EA" w:rsidP="009972EA">
      <w:pPr>
        <w:tabs>
          <w:tab w:val="left" w:pos="720"/>
        </w:tabs>
        <w:spacing w:before="240" w:after="240"/>
        <w:rPr>
          <w:rFonts w:ascii="Times New Roman" w:eastAsia="Arial" w:hAnsi="Times New Roman" w:cs="Times New Roman"/>
          <w:color w:val="000000" w:themeColor="text1"/>
          <w:sz w:val="24"/>
          <w:szCs w:val="24"/>
        </w:rPr>
      </w:pPr>
      <w:r w:rsidRPr="009972EA">
        <w:rPr>
          <w:rFonts w:ascii="Times New Roman" w:eastAsia="Arial" w:hAnsi="Times New Roman" w:cs="Times New Roman"/>
          <w:color w:val="000000" w:themeColor="text1"/>
          <w:sz w:val="24"/>
          <w:szCs w:val="24"/>
        </w:rPr>
        <w:t xml:space="preserve">Students from the first </w:t>
      </w:r>
      <w:proofErr w:type="gramStart"/>
      <w:r w:rsidRPr="009972EA">
        <w:rPr>
          <w:rFonts w:ascii="Times New Roman" w:eastAsia="Arial" w:hAnsi="Times New Roman" w:cs="Times New Roman"/>
          <w:color w:val="000000" w:themeColor="text1"/>
          <w:sz w:val="24"/>
          <w:szCs w:val="24"/>
        </w:rPr>
        <w:t>three year</w:t>
      </w:r>
      <w:proofErr w:type="gramEnd"/>
      <w:r w:rsidRPr="009972EA">
        <w:rPr>
          <w:rFonts w:ascii="Times New Roman" w:eastAsia="Arial" w:hAnsi="Times New Roman" w:cs="Times New Roman"/>
          <w:color w:val="000000" w:themeColor="text1"/>
          <w:sz w:val="24"/>
          <w:szCs w:val="24"/>
        </w:rPr>
        <w:t xml:space="preserve"> levels were included in the study because they are still undergoing the process of adapting to the challenges of nursing education and refining the coping mechanisms necessary to manage academic and clinical stressors. Their experiences provide valuable insights into how nursing students regulate their emotions and cope with the various pressures associated with their professional preparation. In contrast, fourth-year nursing students were excluded from the study due to their relatively longer exposure to the nursing program and its demands. It is assumed that they have already developed greater academic resilience and more stable coping strategies, which may distinguish their experiences from those of lower-year students and potentially influence the homogeneity of the data collected.</w:t>
      </w:r>
    </w:p>
    <w:p w14:paraId="4E6F861A" w14:textId="77777777" w:rsidR="009972EA" w:rsidRPr="009972EA" w:rsidRDefault="009972EA" w:rsidP="009972EA">
      <w:pPr>
        <w:tabs>
          <w:tab w:val="left" w:pos="720"/>
        </w:tabs>
        <w:spacing w:before="240" w:after="240"/>
        <w:rPr>
          <w:rFonts w:ascii="Times New Roman" w:eastAsia="Arial" w:hAnsi="Times New Roman" w:cs="Times New Roman"/>
          <w:color w:val="000000" w:themeColor="text1"/>
          <w:sz w:val="24"/>
          <w:szCs w:val="24"/>
        </w:rPr>
      </w:pPr>
      <w:r w:rsidRPr="009972EA">
        <w:rPr>
          <w:rFonts w:ascii="Times New Roman" w:eastAsia="Arial" w:hAnsi="Times New Roman" w:cs="Times New Roman"/>
          <w:color w:val="000000" w:themeColor="text1"/>
          <w:sz w:val="24"/>
          <w:szCs w:val="24"/>
        </w:rPr>
        <w:t>The respondents differed in several demographic and educational characteristics, including age, year level, previous educational experiences, and backgrounds prior to enrolling at The College of Maasin. These variations were considered beneficial, as they could offer a more comprehensive perspective on the coping strategies and academic emotion regulation practices of nursing students across different stages of their academic journey within the first three years of the program.</w:t>
      </w:r>
    </w:p>
    <w:p w14:paraId="785A08DE" w14:textId="50AF68C3" w:rsidR="009C77E5" w:rsidRDefault="009972EA" w:rsidP="009972EA">
      <w:pPr>
        <w:tabs>
          <w:tab w:val="left" w:pos="720"/>
        </w:tabs>
        <w:spacing w:before="240" w:after="240"/>
        <w:rPr>
          <w:rFonts w:ascii="Times New Roman" w:eastAsia="Arial" w:hAnsi="Times New Roman" w:cs="Times New Roman"/>
          <w:color w:val="000000" w:themeColor="text1"/>
          <w:sz w:val="24"/>
          <w:szCs w:val="24"/>
        </w:rPr>
      </w:pPr>
      <w:r w:rsidRPr="009972EA">
        <w:rPr>
          <w:rFonts w:ascii="Times New Roman" w:eastAsia="Arial" w:hAnsi="Times New Roman" w:cs="Times New Roman"/>
          <w:color w:val="000000" w:themeColor="text1"/>
          <w:sz w:val="24"/>
          <w:szCs w:val="24"/>
        </w:rPr>
        <w:t xml:space="preserve">To select the participants, the researcher utilized simple random sampling. This sampling method ensured that every eligible nursing student from the identified year levels had an equal opportunity to be chosen for inclusion in the study. By employing this approach, the likelihood of selection bias was reduced, thereby enhancing the representativeness of the sample and improving the validity of the findings. </w:t>
      </w:r>
    </w:p>
    <w:p w14:paraId="799F1391" w14:textId="1C212D6D" w:rsidR="00184D9B" w:rsidRPr="00540B7B" w:rsidRDefault="00D228EE" w:rsidP="00540B7B">
      <w:pPr>
        <w:spacing w:before="240" w:after="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Research </w:t>
      </w:r>
      <w:r w:rsidR="00184D9B" w:rsidRPr="00540B7B">
        <w:rPr>
          <w:rFonts w:ascii="Times New Roman" w:hAnsi="Times New Roman" w:cs="Times New Roman"/>
          <w:b/>
          <w:color w:val="000000" w:themeColor="text1"/>
          <w:sz w:val="24"/>
          <w:szCs w:val="24"/>
        </w:rPr>
        <w:t>Instrument</w:t>
      </w:r>
    </w:p>
    <w:p w14:paraId="4829EA2A" w14:textId="063C923E" w:rsidR="009972EA" w:rsidRPr="009972EA" w:rsidRDefault="009972EA" w:rsidP="009972EA">
      <w:pPr>
        <w:spacing w:before="240" w:after="240"/>
        <w:rPr>
          <w:rFonts w:ascii="Times New Roman" w:hAnsi="Times New Roman" w:cs="Times New Roman"/>
          <w:color w:val="000000" w:themeColor="text1"/>
          <w:sz w:val="24"/>
          <w:szCs w:val="24"/>
        </w:rPr>
      </w:pPr>
      <w:r w:rsidRPr="009972EA">
        <w:rPr>
          <w:rFonts w:ascii="Times New Roman" w:hAnsi="Times New Roman" w:cs="Times New Roman"/>
          <w:color w:val="000000" w:themeColor="text1"/>
          <w:sz w:val="24"/>
          <w:szCs w:val="24"/>
        </w:rPr>
        <w:t>Data were collected using a three-part survey questionnaire. The first section gathered respondents’ demographic characteristics, including age, sex, family background, and socioeconomic status. The second section employed the Academic Emotion Regulation Questionnaire (AERQ) developed by</w:t>
      </w:r>
      <w:r w:rsidR="00D56A1F">
        <w:rPr>
          <w:rFonts w:ascii="Times New Roman" w:hAnsi="Times New Roman" w:cs="Times New Roman"/>
          <w:color w:val="000000" w:themeColor="text1"/>
          <w:sz w:val="24"/>
          <w:szCs w:val="24"/>
        </w:rPr>
        <w:t xml:space="preserve">  </w:t>
      </w:r>
      <w:r w:rsidR="00D56A1F">
        <w:rPr>
          <w:rFonts w:ascii="Times New Roman" w:hAnsi="Times New Roman" w:cs="Times New Roman"/>
          <w:color w:val="000000" w:themeColor="text1"/>
          <w:sz w:val="24"/>
          <w:szCs w:val="24"/>
        </w:rPr>
        <w:fldChar w:fldCharType="begin" w:fldLock="1"/>
      </w:r>
      <w:r w:rsidR="00D56A1F">
        <w:rPr>
          <w:rFonts w:ascii="Times New Roman" w:hAnsi="Times New Roman" w:cs="Times New Roman"/>
          <w:color w:val="000000" w:themeColor="text1"/>
          <w:sz w:val="24"/>
          <w:szCs w:val="24"/>
        </w:rPr>
        <w:instrText>ADDIN CSL_CITATION {"citationItems":[{"id":"ITEM-1","itemData":{"DOI":"10.1016/j.paid.2016.02.074","ISSN":"01918869","abstract":"Educational settings provide a great source of diverse emotions which need to be regulated. To examine the complex relations between emotional, cognitive and motivational aspects of learning, appropriate measures of emotion regulation in an academic context are mandatory. Thus, the aim of this research was to develop a psychometrically sound and contextually specific multidimensional self-report instrument aimed at assessing the specific emotion regulation strategies that students predominantly implement in various academic situations. Based on the theoretical assumptions of the process model of emotion regulation and a series of four empirical studies conducted on separate samples of high-school and university students (N1 = 20, N2 = 1030, N3 = 359 and N4 = 230), by combining both qualitative and quantitative data, the Academic Emotion Regulation Questionnaire (AERQ) was designed. The instrument contains 8 scales, each measuring a separate emotion regulation strategy: avoiding situations, developing competences, redirecting attention, reappraisal, suppression, respiration, venting, and seeking social support. All scales had adequate psychometric characteristics and were meaningfully related to the external variables examined (i.e. gender, cognitive appraisals, achievement emotions, academic achievement and goal orientations).","author":[{"dropping-particle":"","family":"Burić","given":"Irena","non-dropping-particle":"","parse-names":false,"suffix":""},{"dropping-particle":"","family":"Sorić","given":"Izabela","non-dropping-particle":"","parse-names":false,"suffix":""},{"dropping-particle":"","family":"Penezić","given":"Zvjezdan","non-dropping-particle":"","parse-names":false,"suffix":""}],"container-title":"Personality and Individual Differences","id":"ITEM-1","issued":{"date-parts":[["2016"]]},"page":"138-147","title":"Emotion regulation in academic domain: Development and validation of the academic emotion regulation questionnaire (AERQ)","type":"article-journal","volume":"96"},"uris":["http://www.mendeley.com/documents/?uuid=a15b1a51-be29-468f-a90d-3e0e2ce204b1"]}],"mendeley":{"formattedCitation":"(Burić et al., 2016)","manualFormatting":"Burić et al. (2016)","plainTextFormattedCitation":"(Burić et al., 2016)","previouslyFormattedCitation":"(Burić et al., 2016)"},"properties":{"noteIndex":0},"schema":"https://github.com/citation-style-language/schema/raw/master/csl-citation.json"}</w:instrText>
      </w:r>
      <w:r w:rsidR="00D56A1F">
        <w:rPr>
          <w:rFonts w:ascii="Times New Roman" w:hAnsi="Times New Roman" w:cs="Times New Roman"/>
          <w:color w:val="000000" w:themeColor="text1"/>
          <w:sz w:val="24"/>
          <w:szCs w:val="24"/>
        </w:rPr>
        <w:fldChar w:fldCharType="separate"/>
      </w:r>
      <w:r w:rsidR="00D56A1F" w:rsidRPr="00D56A1F">
        <w:rPr>
          <w:rFonts w:ascii="Times New Roman" w:hAnsi="Times New Roman" w:cs="Times New Roman"/>
          <w:noProof/>
          <w:color w:val="000000" w:themeColor="text1"/>
          <w:sz w:val="24"/>
          <w:szCs w:val="24"/>
        </w:rPr>
        <w:t>Burić et al.</w:t>
      </w:r>
      <w:r w:rsidR="00D56A1F">
        <w:rPr>
          <w:rFonts w:ascii="Times New Roman" w:hAnsi="Times New Roman" w:cs="Times New Roman"/>
          <w:noProof/>
          <w:color w:val="000000" w:themeColor="text1"/>
          <w:sz w:val="24"/>
          <w:szCs w:val="24"/>
        </w:rPr>
        <w:t xml:space="preserve"> (</w:t>
      </w:r>
      <w:r w:rsidR="00D56A1F" w:rsidRPr="00D56A1F">
        <w:rPr>
          <w:rFonts w:ascii="Times New Roman" w:hAnsi="Times New Roman" w:cs="Times New Roman"/>
          <w:noProof/>
          <w:color w:val="000000" w:themeColor="text1"/>
          <w:sz w:val="24"/>
          <w:szCs w:val="24"/>
        </w:rPr>
        <w:t>2016)</w:t>
      </w:r>
      <w:r w:rsidR="00D56A1F">
        <w:rPr>
          <w:rFonts w:ascii="Times New Roman" w:hAnsi="Times New Roman" w:cs="Times New Roman"/>
          <w:color w:val="000000" w:themeColor="text1"/>
          <w:sz w:val="24"/>
          <w:szCs w:val="24"/>
        </w:rPr>
        <w:fldChar w:fldCharType="end"/>
      </w:r>
      <w:r w:rsidRPr="009972EA">
        <w:rPr>
          <w:rFonts w:ascii="Times New Roman" w:hAnsi="Times New Roman" w:cs="Times New Roman"/>
          <w:color w:val="000000" w:themeColor="text1"/>
          <w:sz w:val="24"/>
          <w:szCs w:val="24"/>
        </w:rPr>
        <w:t>, a 37-item instrument that measures eight emotion regulation strategies: situation avoidance, competency development, attention redirection, reappraisal, suppression, respiration, venting, and social support. Responses were rated on a five-point Likert scale ranging from 1 (Strongly Disagree) to 5 (Strongly Agree). The AERQ has demonstrated satisfactory psychometric properties and validity across various academic and emotional outcomes</w:t>
      </w:r>
      <w:r w:rsidR="00D56A1F">
        <w:rPr>
          <w:rFonts w:ascii="Times New Roman" w:hAnsi="Times New Roman" w:cs="Times New Roman"/>
          <w:color w:val="000000" w:themeColor="text1"/>
          <w:sz w:val="24"/>
          <w:szCs w:val="24"/>
        </w:rPr>
        <w:t xml:space="preserve"> </w:t>
      </w:r>
      <w:r w:rsidR="00D56A1F">
        <w:rPr>
          <w:rFonts w:ascii="Times New Roman" w:hAnsi="Times New Roman" w:cs="Times New Roman"/>
          <w:color w:val="000000" w:themeColor="text1"/>
          <w:sz w:val="24"/>
          <w:szCs w:val="24"/>
        </w:rPr>
        <w:fldChar w:fldCharType="begin" w:fldLock="1"/>
      </w:r>
      <w:r w:rsidR="00D56A1F">
        <w:rPr>
          <w:rFonts w:ascii="Times New Roman" w:hAnsi="Times New Roman" w:cs="Times New Roman"/>
          <w:color w:val="000000" w:themeColor="text1"/>
          <w:sz w:val="24"/>
          <w:szCs w:val="24"/>
        </w:rPr>
        <w:instrText>ADDIN CSL_CITATION {"citationItems":[{"id":"ITEM-1","itemData":{"DOI":"10.1016/j.paid.2016.02.074","ISSN":"01918869","abstract":"Educational settings provide a great source of diverse emotions which need to be regulated. To examine the complex relations between emotional, cognitive and motivational aspects of learning, appropriate measures of emotion regulation in an academic context are mandatory. Thus, the aim of this research was to develop a psychometrically sound and contextually specific multidimensional self-report instrument aimed at assessing the specific emotion regulation strategies that students predominantly implement in various academic situations. Based on the theoretical assumptions of the process model of emotion regulation and a series of four empirical studies conducted on separate samples of high-school and university students (N1 = 20, N2 = 1030, N3 = 359 and N4 = 230), by combining both qualitative and quantitative data, the Academic Emotion Regulation Questionnaire (AERQ) was designed. The instrument contains 8 scales, each measuring a separate emotion regulation strategy: avoiding situations, developing competences, redirecting attention, reappraisal, suppression, respiration, venting, and seeking social support. All scales had adequate psychometric characteristics and were meaningfully related to the external variables examined (i.e. gender, cognitive appraisals, achievement emotions, academic achievement and goal orientations).","author":[{"dropping-particle":"","family":"Burić","given":"Irena","non-dropping-particle":"","parse-names":false,"suffix":""},{"dropping-particle":"","family":"Sorić","given":"Izabela","non-dropping-particle":"","parse-names":false,"suffix":""},{"dropping-particle":"","family":"Penezić","given":"Zvjezdan","non-dropping-particle":"","parse-names":false,"suffix":""}],"container-title":"Personality and Individual Differences","id":"ITEM-1","issued":{"date-parts":[["2016"]]},"page":"138-147","title":"Emotion regulation in academic domain: Development and validation of the academic emotion regulation questionnaire (AERQ)","type":"article-journal","volume":"96"},"uris":["http://www.mendeley.com/documents/?uuid=a15b1a51-be29-468f-a90d-3e0e2ce204b1"]}],"mendeley":{"formattedCitation":"(Burić et al., 2016)","plainTextFormattedCitation":"(Burić et al., 2016)","previouslyFormattedCitation":"(Burić et al., 2016)"},"properties":{"noteIndex":0},"schema":"https://github.com/citation-style-language/schema/raw/master/csl-citation.json"}</w:instrText>
      </w:r>
      <w:r w:rsidR="00D56A1F">
        <w:rPr>
          <w:rFonts w:ascii="Times New Roman" w:hAnsi="Times New Roman" w:cs="Times New Roman"/>
          <w:color w:val="000000" w:themeColor="text1"/>
          <w:sz w:val="24"/>
          <w:szCs w:val="24"/>
        </w:rPr>
        <w:fldChar w:fldCharType="separate"/>
      </w:r>
      <w:r w:rsidR="00D56A1F" w:rsidRPr="00D56A1F">
        <w:rPr>
          <w:rFonts w:ascii="Times New Roman" w:hAnsi="Times New Roman" w:cs="Times New Roman"/>
          <w:noProof/>
          <w:color w:val="000000" w:themeColor="text1"/>
          <w:sz w:val="24"/>
          <w:szCs w:val="24"/>
        </w:rPr>
        <w:t>(Burić et al., 2016)</w:t>
      </w:r>
      <w:r w:rsidR="00D56A1F">
        <w:rPr>
          <w:rFonts w:ascii="Times New Roman" w:hAnsi="Times New Roman" w:cs="Times New Roman"/>
          <w:color w:val="000000" w:themeColor="text1"/>
          <w:sz w:val="24"/>
          <w:szCs w:val="24"/>
        </w:rPr>
        <w:fldChar w:fldCharType="end"/>
      </w:r>
      <w:r w:rsidR="00D56A1F">
        <w:rPr>
          <w:rFonts w:ascii="Times New Roman" w:hAnsi="Times New Roman" w:cs="Times New Roman"/>
          <w:color w:val="000000" w:themeColor="text1"/>
          <w:sz w:val="24"/>
          <w:szCs w:val="24"/>
        </w:rPr>
        <w:t>.</w:t>
      </w:r>
    </w:p>
    <w:p w14:paraId="4684C082" w14:textId="07910929" w:rsidR="009972EA" w:rsidRDefault="009972EA" w:rsidP="009972EA">
      <w:pPr>
        <w:spacing w:before="240" w:after="240"/>
        <w:rPr>
          <w:rFonts w:ascii="Times New Roman" w:hAnsi="Times New Roman" w:cs="Times New Roman"/>
          <w:color w:val="000000" w:themeColor="text1"/>
          <w:sz w:val="24"/>
          <w:szCs w:val="24"/>
        </w:rPr>
      </w:pPr>
      <w:r w:rsidRPr="009972EA">
        <w:rPr>
          <w:rFonts w:ascii="Times New Roman" w:hAnsi="Times New Roman" w:cs="Times New Roman"/>
          <w:color w:val="000000" w:themeColor="text1"/>
          <w:sz w:val="24"/>
          <w:szCs w:val="24"/>
        </w:rPr>
        <w:t xml:space="preserve">The third section utilized the Filipino Coping Strategies Scale (FCSS) developed by </w:t>
      </w:r>
      <w:proofErr w:type="spellStart"/>
      <w:r w:rsidRPr="009972EA">
        <w:rPr>
          <w:rFonts w:ascii="Times New Roman" w:hAnsi="Times New Roman" w:cs="Times New Roman"/>
          <w:color w:val="000000" w:themeColor="text1"/>
          <w:sz w:val="24"/>
          <w:szCs w:val="24"/>
        </w:rPr>
        <w:t>Rilveria</w:t>
      </w:r>
      <w:proofErr w:type="spellEnd"/>
      <w:r w:rsidRPr="009972EA">
        <w:rPr>
          <w:rFonts w:ascii="Times New Roman" w:hAnsi="Times New Roman" w:cs="Times New Roman"/>
          <w:color w:val="000000" w:themeColor="text1"/>
          <w:sz w:val="24"/>
          <w:szCs w:val="24"/>
        </w:rPr>
        <w:t xml:space="preserve"> (2018). The FCSS is a 37-item instrument that assesses nine coping dimensions: cognitive reappraisal, social support, problem-solving, religiosity, tolerance, emotional release, overactivity, relaxation/recreation, and substance use. Responses were measured using a four-point Likert scale ranging from 1 (Never) to 4 (Always). The instrument was designed to capture coping strategies commonly employed by Filipinos in dealing with stress and adversity </w:t>
      </w:r>
      <w:r w:rsidR="00D56A1F">
        <w:rPr>
          <w:rFonts w:ascii="Times New Roman" w:hAnsi="Times New Roman" w:cs="Times New Roman"/>
          <w:color w:val="000000" w:themeColor="text1"/>
          <w:sz w:val="24"/>
          <w:szCs w:val="24"/>
        </w:rPr>
        <w:fldChar w:fldCharType="begin" w:fldLock="1"/>
      </w:r>
      <w:r w:rsidR="00D56A1F">
        <w:rPr>
          <w:rFonts w:ascii="Times New Roman" w:hAnsi="Times New Roman" w:cs="Times New Roman"/>
          <w:color w:val="000000" w:themeColor="text1"/>
          <w:sz w:val="24"/>
          <w:szCs w:val="24"/>
        </w:rPr>
        <w:instrText>ADDIN CSL_CITATION {"citationItems":[{"id":"ITEM-1","itemData":{"DOI":"10.59588/2350-8329.1151","ISSN":"01198386","abstract":"The development of the Filipino Coping Strategies scale was based on the qualitative data on the resilience of Filipinos and the ways by which they cope with stressful life experiences and the quantitative data on foreign measures of coping. Integration of both data led to the formulation of nine coping strategies: cognitive reappraisal (pagsusuri), social support (paghingi ng tulong), problem-solving (pagtugon), religiosity (pagkarelihiyoso), tolerance (pagtitiis), emotional release (paglabas ng saloobin), overactivity (pagmamalabis), relaxation/recreation (paglilibang), and substance use (pagbibisyo). Initially, the scale was composed of 45 items with five items under each domain. This was pilot tested to 627 male and female Filipinos aged 18 above. Reliability analysis revealed items that are internally consistent with each other resulting in the reduction of items to 37. Furthermore, construct validity was established via a) factor analysis through principal components analysis extraction method and varimax rotation method and b) test for convergent validity by correlating each domain of the Filipino Coping Strategies scale with the corresponding domains of Ways of Coping by Folkman and Lazarus and the COPE Inventory by Carver, Scheier, and Weintraub. Independent samples t-test revealed significant differences among males and females in each coping strategy which served as the basis for norm groups. The Filipino Coping Strategies scale is a four-point Likert scale which aims to measure the coping strategies of Filipinos towards stress and generates a coping dispositional profile which can be used to aid in the assessment of coping behaviors.","author":[{"dropping-particle":"","family":"Rilveria","given":"John Robert C.","non-dropping-particle":"","parse-names":false,"suffix":""}],"container-title":"Asia-Pacific Social Science Review","id":"ITEM-1","issue":"1","issued":{"date-parts":[["2018"]]},"page":"111-126","title":"The development of the Filipino coping strategies scale","type":"article-journal","volume":"18"},"uris":["http://www.mendeley.com/documents/?uuid=4338ace1-91cf-4cc1-8e59-e6ea5c8b7adb"]}],"mendeley":{"formattedCitation":"(Rilveria, 2018)","plainTextFormattedCitation":"(Rilveria, 2018)","previouslyFormattedCitation":"(Rilveria, 2018)"},"properties":{"noteIndex":0},"schema":"https://github.com/citation-style-language/schema/raw/master/csl-citation.json"}</w:instrText>
      </w:r>
      <w:r w:rsidR="00D56A1F">
        <w:rPr>
          <w:rFonts w:ascii="Times New Roman" w:hAnsi="Times New Roman" w:cs="Times New Roman"/>
          <w:color w:val="000000" w:themeColor="text1"/>
          <w:sz w:val="24"/>
          <w:szCs w:val="24"/>
        </w:rPr>
        <w:fldChar w:fldCharType="separate"/>
      </w:r>
      <w:r w:rsidR="00D56A1F" w:rsidRPr="00D56A1F">
        <w:rPr>
          <w:rFonts w:ascii="Times New Roman" w:hAnsi="Times New Roman" w:cs="Times New Roman"/>
          <w:noProof/>
          <w:color w:val="000000" w:themeColor="text1"/>
          <w:sz w:val="24"/>
          <w:szCs w:val="24"/>
        </w:rPr>
        <w:t>(Rilveria, 2018)</w:t>
      </w:r>
      <w:r w:rsidR="00D56A1F">
        <w:rPr>
          <w:rFonts w:ascii="Times New Roman" w:hAnsi="Times New Roman" w:cs="Times New Roman"/>
          <w:color w:val="000000" w:themeColor="text1"/>
          <w:sz w:val="24"/>
          <w:szCs w:val="24"/>
        </w:rPr>
        <w:fldChar w:fldCharType="end"/>
      </w:r>
      <w:r w:rsidRPr="009972EA">
        <w:rPr>
          <w:rFonts w:ascii="Times New Roman" w:hAnsi="Times New Roman" w:cs="Times New Roman"/>
          <w:color w:val="000000" w:themeColor="text1"/>
          <w:sz w:val="24"/>
          <w:szCs w:val="24"/>
        </w:rPr>
        <w:t>.</w:t>
      </w:r>
    </w:p>
    <w:p w14:paraId="2E10E09C" w14:textId="24615EF6" w:rsidR="00184D9B" w:rsidRPr="00540B7B" w:rsidRDefault="00184D9B" w:rsidP="009972EA">
      <w:pPr>
        <w:spacing w:before="240" w:after="240"/>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rPr>
        <w:t>Statistical Treatment of the Data</w:t>
      </w:r>
    </w:p>
    <w:p w14:paraId="1F381647" w14:textId="77777777" w:rsidR="009F0006" w:rsidRDefault="009F0006" w:rsidP="009F0006">
      <w:pPr>
        <w:spacing w:before="240" w:after="240"/>
        <w:rPr>
          <w:rFonts w:ascii="Times New Roman" w:eastAsia="Arial" w:hAnsi="Times New Roman" w:cs="Times New Roman"/>
          <w:color w:val="000000" w:themeColor="text1"/>
          <w:sz w:val="24"/>
          <w:szCs w:val="24"/>
        </w:rPr>
      </w:pPr>
      <w:r w:rsidRPr="009F0006">
        <w:rPr>
          <w:rFonts w:ascii="Times New Roman" w:eastAsia="Arial" w:hAnsi="Times New Roman" w:cs="Times New Roman"/>
          <w:color w:val="000000" w:themeColor="text1"/>
          <w:sz w:val="24"/>
          <w:szCs w:val="24"/>
        </w:rPr>
        <w:t>The data collected were analyzed using appropriate statistical techniques with the assistance of a statistician. Frequency count and percentage were employed to summarize and describe the respondents’ demographic profile. Weighted mean was utilized to determine the respondents’ levels of academic emotion regulation and coping strategies based on the established descriptive ratings. To examine the relationship between academic emotion regulation and coping strategies, the Pearson Product-Moment Correlation Coefficient (PPMCC) was applied.</w:t>
      </w:r>
    </w:p>
    <w:p w14:paraId="11B6C615" w14:textId="2A6B333B" w:rsidR="009F0006" w:rsidRDefault="009C77E5" w:rsidP="009F0006">
      <w:pPr>
        <w:spacing w:before="240" w:after="24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w:t>
      </w:r>
    </w:p>
    <w:p w14:paraId="6D9916B4" w14:textId="093C6B7D" w:rsidR="0071685A" w:rsidRDefault="0071685A" w:rsidP="009F0006">
      <w:pPr>
        <w:spacing w:before="240" w:after="24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Respondents’ Profile</w:t>
      </w:r>
    </w:p>
    <w:p w14:paraId="6DF44737" w14:textId="435520CB" w:rsidR="0071685A" w:rsidRPr="0071685A" w:rsidRDefault="0071685A" w:rsidP="009F0006">
      <w:pPr>
        <w:spacing w:before="240" w:after="240"/>
        <w:jc w:val="left"/>
        <w:rPr>
          <w:rFonts w:ascii="Times New Roman" w:hAnsi="Times New Roman" w:cs="Times New Roman"/>
          <w:bCs/>
          <w:color w:val="000000" w:themeColor="text1"/>
          <w:sz w:val="24"/>
          <w:szCs w:val="24"/>
        </w:rPr>
      </w:pPr>
      <w:r w:rsidRPr="0071685A">
        <w:rPr>
          <w:rFonts w:ascii="Times New Roman" w:hAnsi="Times New Roman" w:cs="Times New Roman"/>
          <w:bCs/>
          <w:color w:val="000000" w:themeColor="text1"/>
          <w:sz w:val="24"/>
          <w:szCs w:val="24"/>
        </w:rPr>
        <w:t>The respondents were predominantly aged 18–19 years (50.00%), followed by those aged 20–21 years (42.81%). The majority were female (75.16%), came from complete families (78.76%), and belonged to households with average family income (68.95%). These findings indicate that the respondents largely represent young female nursing students from relatively stable family backgrounds and middle-income households.</w:t>
      </w:r>
    </w:p>
    <w:p w14:paraId="4F7A16B0" w14:textId="14D0D43F" w:rsidR="0071685A" w:rsidRDefault="0071685A" w:rsidP="009F0006">
      <w:pPr>
        <w:spacing w:before="240" w:after="24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Academic Emotion Regulation</w:t>
      </w:r>
    </w:p>
    <w:p w14:paraId="5B38AB1A" w14:textId="723A6CB2" w:rsidR="00E478FA" w:rsidRDefault="003E7ECB" w:rsidP="003E7ECB">
      <w:pPr>
        <w:spacing w:before="240" w:after="240"/>
        <w:rPr>
          <w:rFonts w:ascii="Times New Roman" w:hAnsi="Times New Roman" w:cs="Times New Roman"/>
          <w:b/>
          <w:color w:val="000000" w:themeColor="text1"/>
          <w:sz w:val="24"/>
          <w:szCs w:val="24"/>
        </w:rPr>
      </w:pPr>
      <w:r w:rsidRPr="003E7ECB">
        <w:rPr>
          <w:rFonts w:ascii="Times New Roman" w:hAnsi="Times New Roman" w:cs="Times New Roman"/>
          <w:bCs/>
          <w:color w:val="000000" w:themeColor="text1"/>
          <w:sz w:val="24"/>
          <w:szCs w:val="24"/>
        </w:rPr>
        <w:t xml:space="preserve">The respondents demonstrated a moderate level of academic emotion regulation (WM = 3.20, SD = 0.95). Among the emotion regulation strategies, respiration obtained the highest rating and was described as very high (WM = 4.34), followed by developing competencies (WM = 4.02), suppression (WM = 3.67), redirecting attention (WM = 3.55), and reappraisal (WM = 3.46), all of which were rated high. Seeking social support was rated moderate (WM = 3.31), while avoiding situations (WM = 1.58) and venting (WM = 1.63) received very low ratings. </w:t>
      </w:r>
      <w:r w:rsidR="0071685A">
        <w:rPr>
          <w:rFonts w:ascii="Times New Roman" w:hAnsi="Times New Roman" w:cs="Times New Roman"/>
          <w:bCs/>
          <w:color w:val="000000" w:themeColor="text1"/>
          <w:sz w:val="24"/>
          <w:szCs w:val="24"/>
        </w:rPr>
        <w:t>T</w:t>
      </w:r>
      <w:r w:rsidRPr="003E7ECB">
        <w:rPr>
          <w:rFonts w:ascii="Times New Roman" w:hAnsi="Times New Roman" w:cs="Times New Roman"/>
          <w:bCs/>
          <w:color w:val="000000" w:themeColor="text1"/>
          <w:sz w:val="24"/>
          <w:szCs w:val="24"/>
        </w:rPr>
        <w:t>he findings indicate that the respondents primarily regulated their academic emotions through adaptive strategies such as breathing techniques, competency development, attentional control, and positive cognitive reframing, while showing minimal reliance on avoidance and venting behaviors</w:t>
      </w:r>
      <w:r w:rsidRPr="003E7ECB">
        <w:rPr>
          <w:rFonts w:ascii="Times New Roman" w:hAnsi="Times New Roman" w:cs="Times New Roman"/>
          <w:b/>
          <w:color w:val="000000" w:themeColor="text1"/>
          <w:sz w:val="24"/>
          <w:szCs w:val="24"/>
        </w:rPr>
        <w:t>.</w:t>
      </w:r>
    </w:p>
    <w:p w14:paraId="7B30CCF0" w14:textId="414A25DF" w:rsidR="0071685A" w:rsidRDefault="0071685A" w:rsidP="003E7ECB">
      <w:pPr>
        <w:spacing w:before="240" w:after="24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Coping Strategies </w:t>
      </w:r>
    </w:p>
    <w:p w14:paraId="549BAF08" w14:textId="7760AEC3" w:rsidR="0071685A" w:rsidRDefault="0071685A" w:rsidP="003E7ECB">
      <w:pPr>
        <w:spacing w:before="240" w:after="240"/>
        <w:rPr>
          <w:rFonts w:ascii="Times New Roman" w:hAnsi="Times New Roman" w:cs="Times New Roman"/>
          <w:bCs/>
          <w:color w:val="000000" w:themeColor="text1"/>
          <w:sz w:val="24"/>
          <w:szCs w:val="24"/>
        </w:rPr>
      </w:pPr>
      <w:r w:rsidRPr="0071685A">
        <w:rPr>
          <w:rFonts w:ascii="Times New Roman" w:hAnsi="Times New Roman" w:cs="Times New Roman"/>
          <w:bCs/>
          <w:color w:val="000000" w:themeColor="text1"/>
          <w:sz w:val="24"/>
          <w:szCs w:val="24"/>
        </w:rPr>
        <w:t xml:space="preserve">The respondents demonstrated a high level of coping strategies (WM = 2.79, SD = 0.93), primarily characterized by very high levels of religiosity (WM = 3.45) and problem-solving (WM = 3.26). High levels were likewise observed in relaxation/recreation (WM = 3.16), cognitive reappraisal (WM = 2.97), tolerance (WM = 2.95), social support (WM = 2.79), and overactivity (WM = 2.56). In contrast, emotional release was rated low (WM = 2.33), while substance use obtained a very low rating (WM = 1.61). These findings indicate that the respondents predominantly relied on adaptive and constructive coping strategies, particularly faith-based and </w:t>
      </w:r>
      <w:r w:rsidRPr="0071685A">
        <w:rPr>
          <w:rFonts w:ascii="Times New Roman" w:hAnsi="Times New Roman" w:cs="Times New Roman"/>
          <w:bCs/>
          <w:color w:val="000000" w:themeColor="text1"/>
          <w:sz w:val="24"/>
          <w:szCs w:val="24"/>
        </w:rPr>
        <w:lastRenderedPageBreak/>
        <w:t>problem-focused approaches, while showing minimal reliance on maladaptive coping behaviors such as substance use.</w:t>
      </w:r>
    </w:p>
    <w:p w14:paraId="0F88E61F" w14:textId="77777777" w:rsidR="00692274" w:rsidRPr="00692274" w:rsidRDefault="00692274" w:rsidP="003E7ECB">
      <w:pPr>
        <w:spacing w:before="240" w:after="240"/>
        <w:rPr>
          <w:rFonts w:ascii="Times New Roman" w:hAnsi="Times New Roman" w:cs="Times New Roman"/>
          <w:b/>
          <w:color w:val="000000" w:themeColor="text1"/>
          <w:sz w:val="24"/>
          <w:szCs w:val="24"/>
        </w:rPr>
      </w:pPr>
      <w:r w:rsidRPr="00692274">
        <w:rPr>
          <w:rFonts w:ascii="Times New Roman" w:hAnsi="Times New Roman" w:cs="Times New Roman"/>
          <w:b/>
          <w:color w:val="000000" w:themeColor="text1"/>
          <w:sz w:val="24"/>
          <w:szCs w:val="24"/>
        </w:rPr>
        <w:t>Significant Relationship Between Academic Emotion Regulation and Coping Strategies</w:t>
      </w:r>
    </w:p>
    <w:p w14:paraId="531D758F" w14:textId="15E44BBE" w:rsidR="00692274" w:rsidRPr="0071685A" w:rsidRDefault="00692274" w:rsidP="003E7ECB">
      <w:pPr>
        <w:spacing w:before="240" w:after="240"/>
        <w:rPr>
          <w:rFonts w:ascii="Times New Roman" w:hAnsi="Times New Roman" w:cs="Times New Roman"/>
          <w:bCs/>
          <w:color w:val="000000" w:themeColor="text1"/>
          <w:sz w:val="24"/>
          <w:szCs w:val="24"/>
        </w:rPr>
      </w:pPr>
      <w:r w:rsidRPr="00692274">
        <w:rPr>
          <w:rFonts w:ascii="Times New Roman" w:hAnsi="Times New Roman" w:cs="Times New Roman"/>
          <w:bCs/>
          <w:color w:val="000000" w:themeColor="text1"/>
          <w:sz w:val="24"/>
          <w:szCs w:val="24"/>
        </w:rPr>
        <w:t>There was a negligible positive relationship between academic emotion regulation and coping strategies (r = 0.036), which was not statistically significant (p = 0.535). This indicates that the respondents’ coping strategies were generally independent of their level of academic emotion regulation. Although both variables were present at adaptive levels, variations in students’ ability to regulate academic emotions did not correspond to meaningful differences in their coping behaviors. The findings suggest that coping strategies may be influenced by other personal, social, and contextual factors beyond academic emotion regulation.</w:t>
      </w:r>
      <w:r>
        <w:rPr>
          <w:rFonts w:ascii="Times New Roman" w:hAnsi="Times New Roman" w:cs="Times New Roman"/>
          <w:bCs/>
          <w:color w:val="000000" w:themeColor="text1"/>
          <w:sz w:val="24"/>
          <w:szCs w:val="24"/>
        </w:rPr>
        <w:t xml:space="preserve"> </w:t>
      </w:r>
    </w:p>
    <w:p w14:paraId="06E6EE19" w14:textId="77777777" w:rsidR="00E478FA" w:rsidRDefault="00E478FA" w:rsidP="00E478FA">
      <w:pPr>
        <w:spacing w:before="240" w:after="240"/>
        <w:jc w:val="lef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DISCUSSION</w:t>
      </w:r>
    </w:p>
    <w:p w14:paraId="6D8F5FB6" w14:textId="637AD7FF"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The demographic profile of the respondents reflects characteristics commonly observed among undergraduate nursing students. The predominance of individuals in late adolescence and early adulthood suggests that many respondents are navigating a developmental stage marked by increasing independence, emotional changes, and heightened academic responsibilities. Previous studies have identified younger nursing students as particularly vulnerable to academic stress due to adjustment-related challenges and exposure to clinical demands, whereas older students tend to demonstrate greater emotional maturity and adaptive coping capacities</w:t>
      </w:r>
      <w:r w:rsidR="00D56A1F">
        <w:rPr>
          <w:rFonts w:ascii="Times New Roman" w:hAnsi="Times New Roman" w:cs="Times New Roman"/>
          <w:bCs/>
          <w:color w:val="000000" w:themeColor="text1"/>
          <w:sz w:val="24"/>
          <w:szCs w:val="24"/>
        </w:rPr>
        <w:t xml:space="preserve"> </w:t>
      </w:r>
      <w:r w:rsidR="00D56A1F">
        <w:rPr>
          <w:rFonts w:ascii="Times New Roman" w:hAnsi="Times New Roman" w:cs="Times New Roman"/>
          <w:bCs/>
          <w:color w:val="000000" w:themeColor="text1"/>
          <w:sz w:val="24"/>
          <w:szCs w:val="24"/>
        </w:rPr>
        <w:fldChar w:fldCharType="begin" w:fldLock="1"/>
      </w:r>
      <w:r w:rsidR="00D56A1F">
        <w:rPr>
          <w:rFonts w:ascii="Times New Roman" w:hAnsi="Times New Roman" w:cs="Times New Roman"/>
          <w:bCs/>
          <w:color w:val="000000" w:themeColor="text1"/>
          <w:sz w:val="24"/>
          <w:szCs w:val="24"/>
        </w:rPr>
        <w:instrText>ADDIN CSL_CITATION {"citationItems":[{"id":"ITEM-1","itemData":{"DOI":"10.1016/j.nepr.2021.103182","ISSN":"1471-5953","author":[{"dropping-particle":"","family":"Labrague","given":"Leodoro J","non-dropping-particle":"","parse-names":false,"suffix":""}],"container-title":"Nurse Education in Practice","id":"ITEM-1","issue":"August","issued":{"date-parts":[["2021"]]},"page":"103182","publisher":"Elsevier Ltd","title":"Nurse Education in Practice Resilience as a mediator in the relationship between stress-associated with the Covid-19 pandemic , life satisfaction , and psychological well-being in student nurses : A cross-sectional study","type":"article-journal","volume":"56"},"uris":["http://www.mendeley.com/documents/?uuid=679e3334-d0c1-4fea-98cf-0504b0ee23cd"]},{"id":"ITEM-2","itemData":{"DOI":"10.1016/j.nepr.2020.102809","ISSN":"1471-5953","author":[{"dropping-particle":"","family":"Savitsky","given":"Bella","non-dropping-particle":"","parse-names":false,"suffix":""},{"dropping-particle":"","family":"Findling","given":"Yifat","non-dropping-particle":"","parse-names":false,"suffix":""},{"dropping-particle":"","family":"Ereli","given":"Anat","non-dropping-particle":"","parse-names":false,"suffix":""},{"dropping-particle":"","family":"Hendel","given":"Tova","non-dropping-particle":"","parse-names":false,"suffix":""}],"container-title":"Nurse Education in Practice","id":"ITEM-2","issue":"April","issued":{"date-parts":[["2020"]]},"page":"102809","publisher":"Elsevier","title":"Nurse Education in Practice Anxiety and coping strategies among nursing students during the covid-19 pandemic","type":"article-journal","volume":"46"},"uris":["http://www.mendeley.com/documents/?uuid=db2203c3-1e21-477a-96fb-fb74ec50fdb7"]},{"id":"ITEM-3","itemData":{"DOI":"10.18502/kss.v3i6.2372","author":[{"dropping-particle":"","family":"Yazon","given":"Alberto D","non-dropping-particle":"","parse-names":false,"suffix":""},{"dropping-particle":"","family":"Ang-manaig","given":"Karen","non-dropping-particle":"","parse-names":false,"suffix":""},{"dropping-particle":"","family":"Tesoro","given":"John Frederick B","non-dropping-particle":"","parse-names":false,"suffix":""}],"id":"ITEM-3","issue":"2003","issued":{"date-parts":[["2018"]]},"page":"30-42","title":"Coping Mechanism and Academic Performance Among Filipino Undergraduate Students","type":"article-journal","volume":"2018"},"uris":["http://www.mendeley.com/documents/?uuid=c6c48e16-0df9-43c2-892d-e737c91551e7"]}],"mendeley":{"formattedCitation":"(Labrague, 2021; Savitsky et al., 2020; Yazon et al., 2018)","plainTextFormattedCitation":"(Labrague, 2021; Savitsky et al., 2020; Yazon et al., 2018)","previouslyFormattedCitation":"(Labrague, 2021; Savitsky et al., 2020; Yazon et al., 2018)"},"properties":{"noteIndex":0},"schema":"https://github.com/citation-style-language/schema/raw/master/csl-citation.json"}</w:instrText>
      </w:r>
      <w:r w:rsidR="00D56A1F">
        <w:rPr>
          <w:rFonts w:ascii="Times New Roman" w:hAnsi="Times New Roman" w:cs="Times New Roman"/>
          <w:bCs/>
          <w:color w:val="000000" w:themeColor="text1"/>
          <w:sz w:val="24"/>
          <w:szCs w:val="24"/>
        </w:rPr>
        <w:fldChar w:fldCharType="separate"/>
      </w:r>
      <w:r w:rsidR="00D56A1F" w:rsidRPr="00D56A1F">
        <w:rPr>
          <w:rFonts w:ascii="Times New Roman" w:hAnsi="Times New Roman" w:cs="Times New Roman"/>
          <w:bCs/>
          <w:noProof/>
          <w:color w:val="000000" w:themeColor="text1"/>
          <w:sz w:val="24"/>
          <w:szCs w:val="24"/>
        </w:rPr>
        <w:t>(Labrague, 2021; Savitsky et al., 2020; Yazon et al., 2018)</w:t>
      </w:r>
      <w:r w:rsidR="00D56A1F">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The predominance of female respondents likewise mirrors the traditional gender composition of nursing programs and may have implications for emotional functioning, given evidence linking female nursing students with higher emotional intelligence, empathy, and greater reliance on interpersonal forms of coping</w:t>
      </w:r>
      <w:r w:rsidR="00D56A1F">
        <w:rPr>
          <w:rFonts w:ascii="Times New Roman" w:hAnsi="Times New Roman" w:cs="Times New Roman"/>
          <w:bCs/>
          <w:color w:val="000000" w:themeColor="text1"/>
          <w:sz w:val="24"/>
          <w:szCs w:val="24"/>
        </w:rPr>
        <w:t xml:space="preserve"> </w:t>
      </w:r>
      <w:r w:rsidR="00D56A1F">
        <w:rPr>
          <w:rFonts w:ascii="Times New Roman" w:hAnsi="Times New Roman" w:cs="Times New Roman"/>
          <w:bCs/>
          <w:color w:val="000000" w:themeColor="text1"/>
          <w:sz w:val="24"/>
          <w:szCs w:val="24"/>
        </w:rPr>
        <w:fldChar w:fldCharType="begin" w:fldLock="1"/>
      </w:r>
      <w:r w:rsidR="00B0683C">
        <w:rPr>
          <w:rFonts w:ascii="Times New Roman" w:hAnsi="Times New Roman" w:cs="Times New Roman"/>
          <w:bCs/>
          <w:color w:val="000000" w:themeColor="text1"/>
          <w:sz w:val="24"/>
          <w:szCs w:val="24"/>
        </w:rPr>
        <w:instrText>ADDIN CSL_CITATION {"citationItems":[{"id":"ITEM-1","itemData":{"DOI":"10.20849/ijsn.v7i2.1079","author":[{"dropping-particle":"","family":"Tung","given":"Chun-ping","non-dropping-particle":"","parse-names":false,"suffix":""},{"dropping-particle":"","family":"Rong","given":"Jiin-ru","non-dropping-particle":"","parse-names":false,"suffix":""}],"id":"ITEM-1","issue":"2","issued":{"date-parts":[["2022"]]},"page":"1-10","title":"Exploring the Mediating Effect of Emotional Intelligence on Perceived Stress and Interpersonal Relationships Among Nursing Students","type":"article-journal","volume":"7"},"uris":["http://www.mendeley.com/documents/?uuid=01121cf6-9281-45a2-abdf-f0f7d9178864"]},{"id":"ITEM-2","itemData":{"DOI":"10.1371/journal.pone.0255634","ISBN":"1111111111","ISSN":"19326203","PMID":"34383790","abstract":"Background Many college students register each semester for courses, leading to productive careers and fulfilled lives. During this time, the students have to manage many stressors stemming from academic, personal, and, sometimes, work lives. Students, who lack appropriate stress management skills, may find it difficult to balance these responsibilities. Objectives This study examined stress, coping mechanisms, and gender differences in undergraduate students towards the end of the semester. Design and method University students (n = 448) enrolled in three different undergraduate exercise science courses were assessed. Two instruments, the Perceived Stress Scale and Brief Cope, were administered during the twelfth week of the semester, four weeks prior to final exams. T-tests were used to detect gender differences for the stress levels and coping strategies. Results Overall, females indicated higher levels of stress than their male counterparts. Gender differences were evident in both coping dimensions and individual coping strategies used. Females were found to utilize the emotion-focused coping dimension and endorsed the use of four coping strategies more often than males. These included self-distraction, emotional support, instrumental support, and venting. Conclusions This research adds to the existing literature by illuminating the level of perceived stress and different coping strategies used by undergraduate female and male students. In turn, students may need educational interventions to develop effective and healthy coping strategies to last a lifetime. Faculty and other university officials may want to highlight and understand these various factors to protect the students’ wellbeing in their classes.","author":[{"dropping-particle":"","family":"Graves","given":"B. Sue","non-dropping-particle":"","parse-names":false,"suffix":""},{"dropping-particle":"","family":"Hall","given":"Michael E.","non-dropping-particle":"","parse-names":false,"suffix":""},{"dropping-particle":"","family":"Dias-Karch","given":"Carolyn","non-dropping-particle":"","parse-names":false,"suffix":""},{"dropping-particle":"","family":"Haischer","given":"Michael H.","non-dropping-particle":"","parse-names":false,"suffix":""},{"dropping-particle":"","family":"Apter","given":"Christine","non-dropping-particle":"","parse-names":false,"suffix":""}],"container-title":"PLoS ONE","id":"ITEM-2","issue":"8 August","issued":{"date-parts":[["2021"]]},"page":"1-12","title":"Gender differences in perceived stress and coping among college students","type":"article-journal","volume":"16"},"uris":["http://www.mendeley.com/documents/?uuid=805f7e42-10a6-4dc3-941f-686a2a7c1022"]}],"mendeley":{"formattedCitation":"(Graves et al., 2021; Tung &amp; Rong, 2022)","plainTextFormattedCitation":"(Graves et al., 2021; Tung &amp; Rong, 2022)","previouslyFormattedCitation":"(Graves et al., 2021; Tung &amp; Rong, 2022)"},"properties":{"noteIndex":0},"schema":"https://github.com/citation-style-language/schema/raw/master/csl-citation.json"}</w:instrText>
      </w:r>
      <w:r w:rsidR="00D56A1F">
        <w:rPr>
          <w:rFonts w:ascii="Times New Roman" w:hAnsi="Times New Roman" w:cs="Times New Roman"/>
          <w:bCs/>
          <w:color w:val="000000" w:themeColor="text1"/>
          <w:sz w:val="24"/>
          <w:szCs w:val="24"/>
        </w:rPr>
        <w:fldChar w:fldCharType="separate"/>
      </w:r>
      <w:r w:rsidR="00D56A1F" w:rsidRPr="00D56A1F">
        <w:rPr>
          <w:rFonts w:ascii="Times New Roman" w:hAnsi="Times New Roman" w:cs="Times New Roman"/>
          <w:bCs/>
          <w:noProof/>
          <w:color w:val="000000" w:themeColor="text1"/>
          <w:sz w:val="24"/>
          <w:szCs w:val="24"/>
        </w:rPr>
        <w:t>(Graves et al., 2021; Tung &amp; Rong, 2022)</w:t>
      </w:r>
      <w:r w:rsidR="00D56A1F">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Furthermore, the prevalence of respondents from complete families and households with average income levels highlights the potential influence of family support and socioeconomic resources on students' psychological adjustment. Family cohesion and financial stability have consistently been associated with emotional well-being, resilience, and effective coping among college students</w:t>
      </w:r>
      <w:r w:rsidR="00B0683C">
        <w:rPr>
          <w:rFonts w:ascii="Times New Roman" w:hAnsi="Times New Roman" w:cs="Times New Roman"/>
          <w:bCs/>
          <w:color w:val="000000" w:themeColor="text1"/>
          <w:sz w:val="24"/>
          <w:szCs w:val="24"/>
        </w:rPr>
        <w:t xml:space="preserve"> </w:t>
      </w:r>
      <w:r w:rsidR="00B0683C">
        <w:rPr>
          <w:rFonts w:ascii="Times New Roman" w:hAnsi="Times New Roman" w:cs="Times New Roman"/>
          <w:bCs/>
          <w:color w:val="000000" w:themeColor="text1"/>
          <w:sz w:val="24"/>
          <w:szCs w:val="24"/>
        </w:rPr>
        <w:fldChar w:fldCharType="begin" w:fldLock="1"/>
      </w:r>
      <w:r w:rsidR="00443369">
        <w:rPr>
          <w:rFonts w:ascii="Times New Roman" w:hAnsi="Times New Roman" w:cs="Times New Roman"/>
          <w:bCs/>
          <w:color w:val="000000" w:themeColor="text1"/>
          <w:sz w:val="24"/>
          <w:szCs w:val="24"/>
        </w:rPr>
        <w:instrText>ADDIN CSL_CITATION {"citationItems":[{"id":"ITEM-1","itemData":{"DOI":"10.1007/s10964-023-01864-w","author":[{"dropping-particle":"","family":"Ellen","given":"Melanie J Zimmer-gembeck","non-dropping-particle":"","parse-names":false,"suffix":""},{"dropping-particle":"","family":"Riley","given":"A Skinner","non-dropping-particle":"","parse-names":false,"suffix":""},{"dropping-particle":"","family":"Katherine","given":"A Scott","non-dropping-particle":"","parse-names":false,"suffix":""},{"dropping-particle":"","family":"Tanya","given":"M Ryan","non-dropping-particle":"","parse-names":false,"suffix":""},{"dropping-particle":"","family":"Gardner","given":"Alex A","non-dropping-particle":"","parse-names":false,"suffix":""},{"dropping-particle":"","family":"Duffy","given":"Amanda L","non-dropping-particle":"","parse-names":false,"suffix":""}],"id":"ITEM-1","issued":{"date-parts":[["2023"]]},"page":"2464-2479","publisher":"Springer US","title":"Parental Support and Adolescents ’ Coping with Academic Stressors : A Longitudinal Study of Parents ’ In fl uence Beyond Academic Pressure and Achievement","type":"article-journal"},"uris":["http://www.mendeley.com/documents/?uuid=2f3b306a-b262-4843-a353-090d91f324af"]},{"id":"ITEM-2","itemData":{"author":[{"dropping-particle":"","family":"Kumari","given":"Rima","non-dropping-particle":"","parse-names":false,"suffix":""}],"id":"ITEM-2","issue":"4","issued":{"date-parts":[["2025"]]},"title":"Exploring the Impact of Family Environment and Psychological Well-being on Academic Achievement","type":"article-journal","volume":"10"},"uris":["http://www.mendeley.com/documents/?uuid=d3d72fa1-4745-4274-a8c0-15bd594fd6cd"]},{"id":"ITEM-3","itemData":{"DOI":"10.1038/s41598-024-55530-7","ISBN":"0123456789","ISSN":"2045-2322","author":[{"dropping-particle":"","family":"Shengyao","given":"Ye","non-dropping-particle":"","parse-names":false,"suffix":""},{"dropping-particle":"","family":"Jenatabadi","given":"Hashem Salarzadeh","non-dropping-particle":"","parse-names":false,"suffix":""},{"dropping-particle":"","family":"Mengshi","given":"Ye","non-dropping-particle":"","parse-names":false,"suffix":""},{"dropping-particle":"","family":"Minqin","given":"Chen","non-dropping-particle":"","parse-names":false,"suffix":""},{"dropping-particle":"","family":"Xuefen","given":"Lin","non-dropping-particle":"","parse-names":false,"suffix":""},{"dropping-particle":"","family":"Mustafa","given":"Zaida","non-dropping-particle":"","parse-names":false,"suffix":""}],"container-title":"Scientific Reports","id":"ITEM-3","issue":"0123456789","issued":{"date-parts":[["2024"]]},"page":"1-14","publisher":"Nature Publishing Group UK","title":"Academic resilience , self ‑ efficacy , and motivation : the role of parenting style","type":"article-journal"},"uris":["http://www.mendeley.com/documents/?uuid=3a3b157f-7c99-46af-ad20-383c95f4e236"]},{"id":"ITEM-4","itemData":{"DOI":"10.1080/07448481.2021.1895805","author":[{"dropping-particle":"","family":"Parker","given":"Jennifer","non-dropping-particle":"","parse-names":false,"suffix":""},{"dropping-particle":"","family":"Yacoub","given":"Abigail","non-dropping-particle":"","parse-names":false,"suffix":""},{"dropping-particle":"","family":"Mughal","given":"Sahira","non-dropping-particle":"","parse-names":false,"suffix":""},{"dropping-particle":"","family":"Mamari","given":"Fadi","non-dropping-particle":"","parse-names":false,"suffix":""}],"container-title":"Journal of American College Health","id":"ITEM-4","issue":"0","issued":{"date-parts":[["2021"]]},"page":"1-10","publisher":"Taylor &amp; Francis","title":"Family support and psychological distress among commuter college students","type":"article-journal","volume":"0"},"uris":["http://www.mendeley.com/documents/?uuid=0bcae2a9-e1b6-45df-8abc-98dcf1a8e263"]}],"mendeley":{"formattedCitation":"(Ellen et al., 2023; Kumari, 2025; Parker et al., 2021; Shengyao et al., 2024)","plainTextFormattedCitation":"(Ellen et al., 2023; Kumari, 2025; Parker et al., 2021; Shengyao et al., 2024)","previouslyFormattedCitation":"(Ellen et al., 2023; Kumari, 2025; Parker et al., 2021; Shengyao et al., 2024)"},"properties":{"noteIndex":0},"schema":"https://github.com/citation-style-language/schema/raw/master/csl-citation.json"}</w:instrText>
      </w:r>
      <w:r w:rsidR="00B0683C">
        <w:rPr>
          <w:rFonts w:ascii="Times New Roman" w:hAnsi="Times New Roman" w:cs="Times New Roman"/>
          <w:bCs/>
          <w:color w:val="000000" w:themeColor="text1"/>
          <w:sz w:val="24"/>
          <w:szCs w:val="24"/>
        </w:rPr>
        <w:fldChar w:fldCharType="separate"/>
      </w:r>
      <w:r w:rsidR="00B0683C" w:rsidRPr="00B0683C">
        <w:rPr>
          <w:rFonts w:ascii="Times New Roman" w:hAnsi="Times New Roman" w:cs="Times New Roman"/>
          <w:bCs/>
          <w:noProof/>
          <w:color w:val="000000" w:themeColor="text1"/>
          <w:sz w:val="24"/>
          <w:szCs w:val="24"/>
        </w:rPr>
        <w:t>(Ellen et al., 2023; Kumari, 2025; Parker et al., 2021; Shengyao et al., 2024)</w:t>
      </w:r>
      <w:r w:rsidR="00B0683C">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w:t>
      </w:r>
    </w:p>
    <w:p w14:paraId="416F5104" w14:textId="48B00AE5"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The findings further demonstrate that respondents generally employ adaptive academic emotion regulation strategies when confronted with academic and clinical stressors. Their tendency to confront rather than avoid academic demands reflects a level of emotional engagement that is conducive to learning and professional development. Frequent use of competency development, attentional control, cognitive reappraisal, and respiration techniques suggests that students actively regulate emotions through preparation, self-improvement, positive reframing, and relaxation. These strategies have been consistently associated with improved psychological adjustment, self-regulated learning, academic achievement, and resilience</w:t>
      </w:r>
      <w:r w:rsidR="00443369">
        <w:rPr>
          <w:rFonts w:ascii="Times New Roman" w:hAnsi="Times New Roman" w:cs="Times New Roman"/>
          <w:bCs/>
          <w:color w:val="000000" w:themeColor="text1"/>
          <w:sz w:val="24"/>
          <w:szCs w:val="24"/>
        </w:rPr>
        <w:t xml:space="preserve"> </w:t>
      </w:r>
      <w:r w:rsidR="00443369">
        <w:rPr>
          <w:rFonts w:ascii="Times New Roman" w:hAnsi="Times New Roman" w:cs="Times New Roman"/>
          <w:bCs/>
          <w:color w:val="000000" w:themeColor="text1"/>
          <w:sz w:val="24"/>
          <w:szCs w:val="24"/>
        </w:rPr>
        <w:fldChar w:fldCharType="begin" w:fldLock="1"/>
      </w:r>
      <w:r w:rsidR="00443369">
        <w:rPr>
          <w:rFonts w:ascii="Times New Roman" w:hAnsi="Times New Roman" w:cs="Times New Roman"/>
          <w:bCs/>
          <w:color w:val="000000" w:themeColor="text1"/>
          <w:sz w:val="24"/>
          <w:szCs w:val="24"/>
        </w:rPr>
        <w:instrText>ADDIN CSL_CITATION {"citationItems":[{"id":"ITEM-1","itemData":{"DOI":"10.1080/1047840X.2014.940781","author":[{"dropping-particle":"","family":"Gross","given":"James J","non-dropping-particle":"","parse-names":false,"suffix":""},{"dropping-particle":"","family":"Gross","given":"James J","non-dropping-particle":"","parse-names":false,"suffix":""}],"id":"ITEM-1","issue":"April","issued":{"date-parts":[["2015"]]},"page":"37-41","title":"Psychological Inquiry : An International Journal for the Advancement of Psychological Theory Emotion Regulation : Current Status and Future Prospects Emotion Regulation : Current Status and Future Prospects","type":"article-journal"},"uris":["http://www.mendeley.com/documents/?uuid=12ed15d7-aa50-45a0-9ae8-88703cddf0f4"]},{"id":"ITEM-2","itemData":{"DOI":"10.1037/emo0000703","ISSN":"19311516","PMID":"31961170","abstract":"Emotion regulation (ER) refers to attempts to influence emotions in ourselves or others. Over the past several decades, ER has become a popular topic across many subdisciplines within psychology. One framework that has helped to organize work on ER is the process model of ER, which distinguishes 5 families of strategies defined by when they impact the emotion generation process. The process model embeds these ER strategies in stages in which a need for regulation is identified, a strategy is selected and implemented, and monitoring occurs to track success. Much of the research to date has focused on a strategy called cognitive reappraisal, which involves changing how one thinks about a situation to influence one's emotional response. Reappraisal is thought to be generally effective and adaptive, but there are important qualifications. In this article, we use reappraisal as an example to illustrate how we might consider 4 interrelated issues: (a) the consequences of using ER, either when instructed or spontaneous; (b) how ER success and frequency are shaped by individual and environmental determinants; (c) the psychological and neurobiological mechanisms that make ER possible; and (d) interventions that might improve how well and how often people use ER.","author":[{"dropping-particle":"","family":"McRae","given":"Kateri","non-dropping-particle":"","parse-names":false,"suffix":""},{"dropping-particle":"","family":"Gross","given":"James J.","non-dropping-particle":"","parse-names":false,"suffix":""}],"container-title":"Emotion","id":"ITEM-2","issue":"1","issued":{"date-parts":[["2020"]]},"page":"1-9","title":"Emotion regulation","type":"article-journal","volume":"20"},"uris":["http://www.mendeley.com/documents/?uuid=e2e35633-2b9e-4ce2-b8f0-1ce9ed6395bb"]},{"id":"ITEM-3","itemData":{"DOI":"10.3389/fpsyg.2017.00422","author":[{"dropping-particle":"","family":"Panadero","given":"Ernesto","non-dropping-particle":"","parse-names":false,"suffix":""}],"id":"ITEM-3","issue":"April","issued":{"date-parts":[["2017"]]},"page":"1-28","title":"A Review of Self-regulated Learning : Six Models and Four Directions for Research","type":"article-journal","volume":"8"},"uris":["http://www.mendeley.com/documents/?uuid=3b476ea0-8ee9-454f-a212-94dfda336bd2"]},{"id":"ITEM-4","itemData":{"DOI":"10.1007/s12144-020-01304-z","ISSN":"19364733","abstract":"This study aimed to examine the associations between perceived stress, coping, emotion dysregulation, affect and psychosomatic symptoms in higher education. Participants were 183 first-year undergraduates (84% female) that completed the Perceived Stress Scale, the Brief-COPE, the Difficulties in Emotion Regulation Scale, the PANAS, and the Manifestations of Physical Discomfort Questionnaire. Significant gender differences were found in perceived stress and psychosomatic symptoms (both higher in women), and in coping (emotional vs. humour support strategies higher for women and men, respectively). Process analysis showed that emotion dysregulation partially mediated the association between perceived stress and affect and psychosomatic symptoms. Only positive reframing partially mediated the association between perceived stress and positive affect. Emotion dysregulation seems to play an important role in the development of negative affect and psychosomatic symptoms in higher education students. This could encourage institutions to promote developmental programs targeting emotion regulation to support students in the transition to higher education.","author":[{"dropping-particle":"","family":"Teixeira","given":"Ricardo João","non-dropping-particle":"","parse-names":false,"suffix":""},{"dropping-particle":"","family":"Brandão","given":"Tânia","non-dropping-particle":"","parse-names":false,"suffix":""},{"dropping-particle":"","family":"Dores","given":"Artemisa Rocha","non-dropping-particle":"","parse-names":false,"suffix":""}],"container-title":"Current Psychology","id":"ITEM-4","issue":"11","issued":{"date-parts":[["2022"]]},"page":"7618-7627","publisher":"Current Psychology","title":"Academic stress, coping, emotion regulation, affect and psychosomatic symptoms in higher education","type":"article-journal","volume":"41"},"uris":["http://www.mendeley.com/documents/?uuid=3e91dda6-6933-4714-ad1b-70dcc04b6fa7"]}],"mendeley":{"formattedCitation":"(Gross &amp; Gross, 2015; McRae &amp; Gross, 2020; Panadero, 2017; Teixeira et al., 2022)","plainTextFormattedCitation":"(Gross &amp; Gross, 2015; McRae &amp; Gross, 2020; Panadero, 2017; Teixeira et al., 2022)","previouslyFormattedCitation":"(Gross &amp; Gross, 2015; McRae &amp; Gross, 2020; Panadero, 2017; Teixeira et al., 2022)"},"properties":{"noteIndex":0},"schema":"https://github.com/citation-style-language/schema/raw/master/csl-citation.json"}</w:instrText>
      </w:r>
      <w:r w:rsidR="00443369">
        <w:rPr>
          <w:rFonts w:ascii="Times New Roman" w:hAnsi="Times New Roman" w:cs="Times New Roman"/>
          <w:bCs/>
          <w:color w:val="000000" w:themeColor="text1"/>
          <w:sz w:val="24"/>
          <w:szCs w:val="24"/>
        </w:rPr>
        <w:fldChar w:fldCharType="separate"/>
      </w:r>
      <w:r w:rsidR="00443369" w:rsidRPr="00443369">
        <w:rPr>
          <w:rFonts w:ascii="Times New Roman" w:hAnsi="Times New Roman" w:cs="Times New Roman"/>
          <w:bCs/>
          <w:noProof/>
          <w:color w:val="000000" w:themeColor="text1"/>
          <w:sz w:val="24"/>
          <w:szCs w:val="24"/>
        </w:rPr>
        <w:t>(Gross &amp; Gross, 2015; McRae &amp; Gross, 2020; Panadero, 2017; Teixeira et al., 2022)</w:t>
      </w:r>
      <w:r w:rsidR="00443369">
        <w:rPr>
          <w:rFonts w:ascii="Times New Roman" w:hAnsi="Times New Roman" w:cs="Times New Roman"/>
          <w:bCs/>
          <w:color w:val="000000" w:themeColor="text1"/>
          <w:sz w:val="24"/>
          <w:szCs w:val="24"/>
        </w:rPr>
        <w:fldChar w:fldCharType="end"/>
      </w:r>
      <w:r w:rsidR="00443369">
        <w:rPr>
          <w:rFonts w:ascii="Times New Roman" w:hAnsi="Times New Roman" w:cs="Times New Roman"/>
          <w:bCs/>
          <w:color w:val="000000" w:themeColor="text1"/>
          <w:sz w:val="24"/>
          <w:szCs w:val="24"/>
        </w:rPr>
        <w:t>.</w:t>
      </w:r>
      <w:r w:rsidRPr="00E478FA">
        <w:rPr>
          <w:rFonts w:ascii="Times New Roman" w:hAnsi="Times New Roman" w:cs="Times New Roman"/>
          <w:bCs/>
          <w:color w:val="000000" w:themeColor="text1"/>
          <w:sz w:val="24"/>
          <w:szCs w:val="24"/>
        </w:rPr>
        <w:t xml:space="preserve"> At the same time, the moderate use of suppression and social support indicates that while students strive to maintain composure and seek </w:t>
      </w:r>
      <w:r w:rsidRPr="00E478FA">
        <w:rPr>
          <w:rFonts w:ascii="Times New Roman" w:hAnsi="Times New Roman" w:cs="Times New Roman"/>
          <w:bCs/>
          <w:color w:val="000000" w:themeColor="text1"/>
          <w:sz w:val="24"/>
          <w:szCs w:val="24"/>
        </w:rPr>
        <w:t>assistance,</w:t>
      </w:r>
      <w:r w:rsidRPr="00E478FA">
        <w:rPr>
          <w:rFonts w:ascii="Times New Roman" w:hAnsi="Times New Roman" w:cs="Times New Roman"/>
          <w:bCs/>
          <w:color w:val="000000" w:themeColor="text1"/>
          <w:sz w:val="24"/>
          <w:szCs w:val="24"/>
        </w:rPr>
        <w:t xml:space="preserve"> when necessary, some may still hesitate to openly express emotional difficulties. Such a pattern reflects the complex emotional demands of nursing education, where professionalism and emotional control are often highly valued </w:t>
      </w:r>
      <w:r w:rsidR="00443369">
        <w:rPr>
          <w:rFonts w:ascii="Times New Roman" w:hAnsi="Times New Roman" w:cs="Times New Roman"/>
          <w:bCs/>
          <w:color w:val="000000" w:themeColor="text1"/>
          <w:sz w:val="24"/>
          <w:szCs w:val="24"/>
        </w:rPr>
        <w:fldChar w:fldCharType="begin" w:fldLock="1"/>
      </w:r>
      <w:r w:rsidR="00443369">
        <w:rPr>
          <w:rFonts w:ascii="Times New Roman" w:hAnsi="Times New Roman" w:cs="Times New Roman"/>
          <w:bCs/>
          <w:color w:val="000000" w:themeColor="text1"/>
          <w:sz w:val="24"/>
          <w:szCs w:val="24"/>
        </w:rPr>
        <w:instrText>ADDIN CSL_CITATION {"citationItems":[{"id":"ITEM-1","itemData":{"DOI":"10.3389/fpsyg.2025.1678275","author":[{"dropping-particle":"","family":"Chen","given":"Mingxuan","non-dropping-particle":"","parse-names":false,"suffix":""},{"dropping-particle":"","family":"Huang","given":"Lieyu","non-dropping-particle":"","parse-names":false,"suffix":""},{"dropping-particle":"","family":"Qin","given":"Qian","non-dropping-particle":"","parse-names":false,"suffix":""},{"dropping-particle":"","family":"Li","given":"Jinlu","non-dropping-particle":"","parse-names":false,"suffix":""}],"id":"ITEM-1","issue":"October","issued":{"date-parts":[["2025"]]},"page":"1-9","title":"Impact of expressive suppression on subthreshold depression among college students : a moderated mediation model","type":"article-journal"},"uris":["http://www.mendeley.com/documents/?uuid=5a6bc3ff-03e0-4171-8f2f-971a80c7be07"]},{"id":"ITEM-2","itemData":{"DOI":"10.1111/aphw.12211","author":[{"dropping-particle":"","family":"Ye","given":"Zhi","non-dropping-particle":"","parse-names":false,"suffix":""},{"dropping-particle":"","family":"Yang","given":"Xueying","non-dropping-particle":"","parse-names":false,"suffix":""},{"dropping-particle":"","family":"Zeng","given":"Chengbo","non-dropping-particle":"","parse-names":false,"suffix":""},{"dropping-particle":"","family":"Li","given":"Xiaoming","non-dropping-particle":"","parse-names":false,"suffix":""},{"dropping-particle":"","family":"Wang","given":"Yuyan","non-dropping-particle":"","parse-names":false,"suffix":""},{"dropping-particle":"","family":"Shen","given":"Zijiao","non-dropping-particle":"","parse-names":false,"suffix":""},{"dropping-particle":"","family":"Lin","given":"Danhua","non-dropping-particle":"","parse-names":false,"suffix":""}],"id":"ITEM-2","issued":{"date-parts":[["2020"]]},"title":"Resilience , Social Support , and Coping as Mediators between COVID-19-related Stressful Experiences and Acute Stress Disorder among College Students in China","type":"article-journal"},"uris":["http://www.mendeley.com/documents/?uuid=af15b5b3-c047-4dcd-9580-cb79accb4150"]}],"mendeley":{"formattedCitation":"(Chen et al., 2025; Ye et al., 2020)","plainTextFormattedCitation":"(Chen et al., 2025; Ye et al., 2020)","previouslyFormattedCitation":"(Chen et al., 2025; Ye et al., 2020)"},"properties":{"noteIndex":0},"schema":"https://github.com/citation-style-language/schema/raw/master/csl-citation.json"}</w:instrText>
      </w:r>
      <w:r w:rsidR="00443369">
        <w:rPr>
          <w:rFonts w:ascii="Times New Roman" w:hAnsi="Times New Roman" w:cs="Times New Roman"/>
          <w:bCs/>
          <w:color w:val="000000" w:themeColor="text1"/>
          <w:sz w:val="24"/>
          <w:szCs w:val="24"/>
        </w:rPr>
        <w:fldChar w:fldCharType="separate"/>
      </w:r>
      <w:r w:rsidR="00443369" w:rsidRPr="00443369">
        <w:rPr>
          <w:rFonts w:ascii="Times New Roman" w:hAnsi="Times New Roman" w:cs="Times New Roman"/>
          <w:bCs/>
          <w:noProof/>
          <w:color w:val="000000" w:themeColor="text1"/>
          <w:sz w:val="24"/>
          <w:szCs w:val="24"/>
        </w:rPr>
        <w:t>(Chen et al., 2025; Ye et al., 2020)</w:t>
      </w:r>
      <w:r w:rsidR="00443369">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w:t>
      </w:r>
    </w:p>
    <w:p w14:paraId="1048458D" w14:textId="5F83B917"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Similarly, the respondents exhibited a predominantly adaptive coping profile characterized by strong reliance on problem-solving, cognitive reappraisal, social support, religiosity, relaxation, and tolerance. These findings suggest that students primarily respond to stress through constructive and proactive means rather than through avoidance or maladaptive behaviors. The prominence of problem-focused coping and cognitive restructuring is particularly noteworthy, as these strategies have been linked to resilience, psychological well-being, and successful adaptation to academic challenges</w:t>
      </w:r>
      <w:r w:rsidR="00443369">
        <w:rPr>
          <w:rFonts w:ascii="Times New Roman" w:hAnsi="Times New Roman" w:cs="Times New Roman"/>
          <w:bCs/>
          <w:color w:val="000000" w:themeColor="text1"/>
          <w:sz w:val="24"/>
          <w:szCs w:val="24"/>
        </w:rPr>
        <w:t xml:space="preserve"> </w:t>
      </w:r>
      <w:r w:rsidR="00443369">
        <w:rPr>
          <w:rFonts w:ascii="Times New Roman" w:hAnsi="Times New Roman" w:cs="Times New Roman"/>
          <w:bCs/>
          <w:color w:val="000000" w:themeColor="text1"/>
          <w:sz w:val="24"/>
          <w:szCs w:val="24"/>
        </w:rPr>
        <w:fldChar w:fldCharType="begin" w:fldLock="1"/>
      </w:r>
      <w:r w:rsidR="00443369">
        <w:rPr>
          <w:rFonts w:ascii="Times New Roman" w:hAnsi="Times New Roman" w:cs="Times New Roman"/>
          <w:bCs/>
          <w:color w:val="000000" w:themeColor="text1"/>
          <w:sz w:val="24"/>
          <w:szCs w:val="24"/>
        </w:rPr>
        <w:instrText>ADDIN CSL_CITATION {"citationItems":[{"id":"ITEM-1","itemData":{"DOI":"10.1177/17540739221114642","author":[{"dropping-particle":"","family":"Wackerhagen","given":"Carolin","non-dropping-particle":"","parse-names":false,"suffix":""},{"dropping-particle":"","family":"Reppmann","given":"Zala C","non-dropping-particle":"","parse-names":false,"suffix":""},{"dropping-particle":"","family":"Walter","given":"Henrik","non-dropping-particle":"","parse-names":false,"suffix":""}],"id":"ITEM-1","issue":"4","issued":{"date-parts":[["2022"]]},"page":"310-331","title":"Positive Cognitive Reappraisal in Stress Resilience , Mental Health , and Well-Being : A Comprehensive Systematic Review","type":"article-journal","volume":"14"},"uris":["http://www.mendeley.com/documents/?uuid=91de4b04-a34b-434a-8539-f2b33b7fa122"]},{"id":"ITEM-2","itemData":{"DOI":"10.3389/fpsyg.2023.1110642","author":[{"dropping-particle":"","family":"Han","given":"Fulei","non-dropping-particle":"","parse-names":false,"suffix":""},{"dropping-particle":"","family":"Duan","given":"Ruirui","non-dropping-particle":"","parse-names":false,"suffix":""},{"dropping-particle":"","family":"Huang","given":"Beibei","non-dropping-particle":"","parse-names":false,"suffix":""},{"dropping-particle":"","family":"Wang","given":"Qiulin","non-dropping-particle":"","parse-names":false,"suffix":""}],"id":"ITEM-2","issue":"April","issued":{"date-parts":[["2023"]]},"page":"1-10","title":"Psychological resilience and cognitive reappraisal mediate the effects of coping style on the mental health of children","type":"article-journal"},"uris":["http://www.mendeley.com/documents/?uuid=545271e7-f83f-4a7c-9c5d-a466beccd869"]},{"id":"ITEM-3","itemData":{"DOI":"10.3389/fpsyg.2025.1616452","author":[{"dropping-particle":"","family":"Xu","given":"Zhenguo","non-dropping-particle":"","parse-names":false,"suffix":""},{"dropping-particle":"","family":"Du","given":"Wenxiu","non-dropping-particle":"","parse-names":false,"suffix":""},{"dropping-particle":"","family":"Zhao","given":"Huaiyan","non-dropping-particle":"","parse-names":false,"suffix":""},{"dropping-particle":"","family":"Liu","given":"Qing","non-dropping-particle":"","parse-names":false,"suffix":""}],"id":"ITEM-3","issue":"August","issued":{"date-parts":[["2025"]]},"page":"1-21","title":"The influence of college students ’ psychological resilience on problem solving : based on eye tracking technology","type":"article-journal"},"uris":["http://www.mendeley.com/documents/?uuid=a4e8f60f-2bb7-484b-ae0f-9d095ab4e258"]}],"mendeley":{"formattedCitation":"(Han et al., 2023; Wackerhagen et al., 2022; Xu et al., 2025)","plainTextFormattedCitation":"(Han et al., 2023; Wackerhagen et al., 2022; Xu et al., 2025)","previouslyFormattedCitation":"(Han et al., 2023; Wackerhagen et al., 2022; Xu et al., 2025)"},"properties":{"noteIndex":0},"schema":"https://github.com/citation-style-language/schema/raw/master/csl-citation.json"}</w:instrText>
      </w:r>
      <w:r w:rsidR="00443369">
        <w:rPr>
          <w:rFonts w:ascii="Times New Roman" w:hAnsi="Times New Roman" w:cs="Times New Roman"/>
          <w:bCs/>
          <w:color w:val="000000" w:themeColor="text1"/>
          <w:sz w:val="24"/>
          <w:szCs w:val="24"/>
        </w:rPr>
        <w:fldChar w:fldCharType="separate"/>
      </w:r>
      <w:r w:rsidR="00443369" w:rsidRPr="00443369">
        <w:rPr>
          <w:rFonts w:ascii="Times New Roman" w:hAnsi="Times New Roman" w:cs="Times New Roman"/>
          <w:bCs/>
          <w:noProof/>
          <w:color w:val="000000" w:themeColor="text1"/>
          <w:sz w:val="24"/>
          <w:szCs w:val="24"/>
        </w:rPr>
        <w:t>(Han et al., 2023; Wackerhagen et al., 2022; Xu et al., 2025)</w:t>
      </w:r>
      <w:r w:rsidR="00443369">
        <w:rPr>
          <w:rFonts w:ascii="Times New Roman" w:hAnsi="Times New Roman" w:cs="Times New Roman"/>
          <w:bCs/>
          <w:color w:val="000000" w:themeColor="text1"/>
          <w:sz w:val="24"/>
          <w:szCs w:val="24"/>
        </w:rPr>
        <w:fldChar w:fldCharType="end"/>
      </w:r>
      <w:r w:rsidR="00443369">
        <w:rPr>
          <w:rFonts w:ascii="Times New Roman" w:hAnsi="Times New Roman" w:cs="Times New Roman"/>
          <w:bCs/>
          <w:color w:val="000000" w:themeColor="text1"/>
          <w:sz w:val="24"/>
          <w:szCs w:val="24"/>
        </w:rPr>
        <w:t>.</w:t>
      </w:r>
      <w:r w:rsidRPr="00E478FA">
        <w:rPr>
          <w:rFonts w:ascii="Times New Roman" w:hAnsi="Times New Roman" w:cs="Times New Roman"/>
          <w:bCs/>
          <w:color w:val="000000" w:themeColor="text1"/>
          <w:sz w:val="24"/>
          <w:szCs w:val="24"/>
        </w:rPr>
        <w:t xml:space="preserve"> The substantial use of social support and religiosity further underscores the importance of interpersonal relationships and spirituality as sources of emotional strength and psychological protection. Such findings are especially relevant within the Philippine context, where family connectedness and religious faith often serve as important coping resources during times of adversity</w:t>
      </w:r>
      <w:r w:rsidR="00443369">
        <w:rPr>
          <w:rFonts w:ascii="Times New Roman" w:hAnsi="Times New Roman" w:cs="Times New Roman"/>
          <w:bCs/>
          <w:color w:val="000000" w:themeColor="text1"/>
          <w:sz w:val="24"/>
          <w:szCs w:val="24"/>
        </w:rPr>
        <w:t xml:space="preserve"> </w:t>
      </w:r>
      <w:r w:rsidR="00443369">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DOI":"10.1007/s10943-020-01160-y","ISBN":"0123456789","ISSN":"1573-6571","author":[{"dropping-particle":"","family":"Dolcos","given":"Florin","non-dropping-particle":"","parse-names":false,"suffix":""},{"dropping-particle":"","family":"Hohl","given":"Kelly","non-dropping-particle":"","parse-names":false,"suffix":""},{"dropping-particle":"","family":"Hu","given":"Yifan","non-dropping-particle":"","parse-names":false,"suffix":""},{"dropping-particle":"","family":"Dolcos","given":"Sanda","non-dropping-particle":"","parse-names":false,"suffix":""}],"container-title":"Journal of Religion and Health","id":"ITEM-1","issue":"0123456789","issued":{"date-parts":[["2021"]]},"publisher":"Springer US","title":"Religiosity and Resilience : Cognitive Reappraisal and Coping Self ‑ Efficacy Mediate the Link between Religious Coping and Well ‑ Being","type":"article-journal"},"uris":["http://www.mendeley.com/documents/?uuid=6d66fe49-e7b8-41ce-acde-45d2c52e4885"]},{"id":"ITEM-2","itemData":{"DOI":"10.3389/fnbeh.2022.954382","author":[{"dropping-particle":"","family":"Surzykiewicz","given":"Janusz","non-dropping-particle":"","parse-names":false,"suffix":""},{"dropping-particle":"","family":"Skalski","given":"Sebastian Binyamin","non-dropping-particle":"","parse-names":false,"suffix":""}],"id":"ITEM-2","issue":"October","issued":{"date-parts":[["2022"]]},"title":"Exploring the mediating effects of negative and positive religious coping between resilience and mental well-being","type":"article-journal"},"uris":["http://www.mendeley.com/documents/?uuid=1588c577-4672-444f-8841-7fe6d2e7a434"]}],"mendeley":{"formattedCitation":"(Dolcos et al., 2021; Surzykiewicz &amp; Skalski, 2022)","plainTextFormattedCitation":"(Dolcos et al., 2021; Surzykiewicz &amp; Skalski, 2022)","previouslyFormattedCitation":"(Dolcos et al., 2021; Surzykiewicz &amp; Skalski, 2022)"},"properties":{"noteIndex":0},"schema":"https://github.com/citation-style-language/schema/raw/master/csl-citation.json"}</w:instrText>
      </w:r>
      <w:r w:rsidR="00443369">
        <w:rPr>
          <w:rFonts w:ascii="Times New Roman" w:hAnsi="Times New Roman" w:cs="Times New Roman"/>
          <w:bCs/>
          <w:color w:val="000000" w:themeColor="text1"/>
          <w:sz w:val="24"/>
          <w:szCs w:val="24"/>
        </w:rPr>
        <w:fldChar w:fldCharType="separate"/>
      </w:r>
      <w:r w:rsidR="00443369" w:rsidRPr="00443369">
        <w:rPr>
          <w:rFonts w:ascii="Times New Roman" w:hAnsi="Times New Roman" w:cs="Times New Roman"/>
          <w:bCs/>
          <w:noProof/>
          <w:color w:val="000000" w:themeColor="text1"/>
          <w:sz w:val="24"/>
          <w:szCs w:val="24"/>
        </w:rPr>
        <w:t>(Dolcos et al., 2021; Surzykiewicz &amp; Skalski, 2022)</w:t>
      </w:r>
      <w:r w:rsidR="00443369">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xml:space="preserve">. Moreover, the very low reliance on substance use reflects a favorable pattern of stress management and indicates that </w:t>
      </w:r>
      <w:r w:rsidRPr="00E478FA">
        <w:rPr>
          <w:rFonts w:ascii="Times New Roman" w:hAnsi="Times New Roman" w:cs="Times New Roman"/>
          <w:bCs/>
          <w:color w:val="000000" w:themeColor="text1"/>
          <w:sz w:val="24"/>
          <w:szCs w:val="24"/>
        </w:rPr>
        <w:lastRenderedPageBreak/>
        <w:t>respondents generally avoid maladaptive coping mechanisms associated with poorer mental health outcomes</w:t>
      </w:r>
      <w:r w:rsidR="001172F5">
        <w:rPr>
          <w:rFonts w:ascii="Times New Roman" w:hAnsi="Times New Roman" w:cs="Times New Roman"/>
          <w:bCs/>
          <w:color w:val="000000" w:themeColor="text1"/>
          <w:sz w:val="24"/>
          <w:szCs w:val="24"/>
        </w:rPr>
        <w:t xml:space="preserve"> </w:t>
      </w:r>
      <w:r w:rsidR="001172F5">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author":[{"dropping-particle":"","family":"Singh","given":"Shweta","non-dropping-particle":"","parse-names":false,"suffix":""},{"dropping-particle":"","family":"Mani","given":"Nisha","non-dropping-particle":"","parse-names":false,"suffix":""},{"dropping-particle":"","family":"Datta","given":"Manjistha","non-dropping-particle":"","parse-names":false,"suffix":""},{"dropping-particle":"","family":"Batra","given":"Saakshi","non-dropping-particle":"","parse-names":false,"suffix":""}],"id":"ITEM-1","issue":"May","issued":{"date-parts":[["2021"]]},"publisher":"Elsevier B.V.","title":"Stress , internet use , substance use and coping among adolescents , young-adults and middle-age adults amid the ‘ new normal ’ pandemic era","type":"article-journal","volume":"12"},"uris":["http://www.mendeley.com/documents/?uuid=1cff2f42-13ec-4ecb-9c32-817176f717f3"]},{"id":"ITEM-2","itemData":{"DOI":"10.1016/j.abrep.2021.100392","author":[{"dropping-particle":"","family":"Romano","given":"Isabella","non-dropping-particle":"","parse-names":false,"suffix":""},{"dropping-particle":"","family":"Patte","given":"Karen A","non-dropping-particle":"","parse-names":false,"suffix":""},{"dropping-particle":"De","family":"Groh","given":"Margaret","non-dropping-particle":"","parse-names":false,"suffix":""},{"dropping-particle":"","family":"Jiang","given":"Ying","non-dropping-particle":"","parse-names":false,"suffix":""},{"dropping-particle":"","family":"Wade","given":"Terrance J","non-dropping-particle":"","parse-names":false,"suffix":""},{"dropping-particle":"","family":"Richard","given":"E B","non-dropping-particle":"","parse-names":false,"suffix":""},{"dropping-particle":"","family":"Leatherdale","given":"Scott T","non-dropping-particle":"","parse-names":false,"suffix":""}],"id":"ITEM-2","issue":"November","issued":{"date-parts":[["2021"]]},"title":"Addictive Behaviors Reports Substance-related coping behaviours among youth during the early months of the COVID-19 pandemic","type":"article-journal","volume":"14"},"uris":["http://www.mendeley.com/documents/?uuid=a6e44218-0314-4330-a6da-60638260a076"]}],"mendeley":{"formattedCitation":"(Romano et al., 2021; Singh et al., 2021)","plainTextFormattedCitation":"(Romano et al., 2021; Singh et al., 2021)","previouslyFormattedCitation":"(Romano et al., 2021; Singh et al., 2021)"},"properties":{"noteIndex":0},"schema":"https://github.com/citation-style-language/schema/raw/master/csl-citation.json"}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(Romano et al., 2021; Singh et al., 2021)</w:t>
      </w:r>
      <w:r w:rsidR="001172F5">
        <w:rPr>
          <w:rFonts w:ascii="Times New Roman" w:hAnsi="Times New Roman" w:cs="Times New Roman"/>
          <w:bCs/>
          <w:color w:val="000000" w:themeColor="text1"/>
          <w:sz w:val="24"/>
          <w:szCs w:val="24"/>
        </w:rPr>
        <w:fldChar w:fldCharType="end"/>
      </w:r>
      <w:r w:rsidR="001172F5">
        <w:rPr>
          <w:rFonts w:ascii="Times New Roman" w:hAnsi="Times New Roman" w:cs="Times New Roman"/>
          <w:bCs/>
          <w:color w:val="000000" w:themeColor="text1"/>
          <w:sz w:val="24"/>
          <w:szCs w:val="24"/>
        </w:rPr>
        <w:t>.</w:t>
      </w:r>
    </w:p>
    <w:p w14:paraId="67E8CC2D" w14:textId="5B5829BF"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Despite the adaptive nature of both academic emotion regulation and coping strategies, the study found no significant relationship between these variables. This finding suggests that although both constructs contribute to students' adjustment and well-being, they may operate through distinct psychological processes. Academic emotion regulation focuses on the management of emotions arising from academic experiences, whereas coping strategies encompass broader behavioral, cognitive, social, and spiritual responses to stress. Consequently, students who demonstrate effective emotion regulation may not necessarily employ similar coping strategies when managing academic and clinical challenges. This interpretation is consistent with the findings of</w:t>
      </w:r>
      <w:r w:rsidR="001172F5">
        <w:rPr>
          <w:rFonts w:ascii="Times New Roman" w:hAnsi="Times New Roman" w:cs="Times New Roman"/>
          <w:bCs/>
          <w:color w:val="000000" w:themeColor="text1"/>
          <w:sz w:val="24"/>
          <w:szCs w:val="24"/>
        </w:rPr>
        <w:t xml:space="preserve"> </w:t>
      </w:r>
      <w:r w:rsidR="001172F5">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{"citationItems":[{"id":"ITEM-1","itemData":{"DOI":"10.3389/fpsyg.2024.1454886","ISSN":"16641078","abstract":"Social–emotional skills (e.g., emotion regulation) influence a variety of academic outcomes among children. This study examined the relations of coping strategies and cognitive emotion regulation (CER) to academic achievement goals and academic performance among Chinese children (N = 401, age M = 10.52 years). Full Structural Equation Modeling (SEM) analysis showed that children’s use of active coping strategies was positively associated with their endorsement of performance approach and mastery avoidance goals. Avoidant and support-seeking coping strategies were not associated with any outcome variables. Maladaptive CER was positively associated with performance approach, performance avoidance, and mastery avoidance goals and negatively associated with academic performance; adaptive CER was positively associated with mastery approach goals but not associated with other outcome variables. The current study provided some preliminary evidence to indicate that active coping strategies, maladaptive CER, and adaptive CER were associated with academic achievement goals and academic performance among Chinese children. Although maladaptive CER was not used as often as adaptive CER by Chinese children, the more they used maladaptive CER, the more likely they were to have academic achievement goals that focused on things other than learning itself, whereas the more Chinese children used adaptive CER, the more likely they were to set an achievement goal to master the knowledge. Therefore, in teaching practices or intervention planning, decreasing maladaptive CER strategies may be as important as cultivating adaptive CER strategies to facilitate academic success among Chinese children.","author":[{"dropping-particle":"","family":"Chen-Bouck","given":"Li","non-dropping-particle":"","parse-names":false,"suffix":""},{"dropping-particle":"","family":"Patterson","given":"Meagan M.","non-dropping-particle":"","parse-names":false,"suffix":""},{"dropping-particle":"","family":"Peng","given":"Anqi","non-dropping-particle":"","parse-names":false,"suffix":""}],"container-title":"Frontiers in Psychology","id":"ITEM-1","issue":"October","issued":{"date-parts":[["2024"]]},"page":"1-11","title":"Relations of coping strategies and cognitive emotion regulation to Chinese children’s academic achievement goals and academic performance","type":"article-journal","volume":"15"},"uris":["http://www.mendeley.com/documents/?uuid=5aab8898-e215-44e5-aa60-496a3232cff8"]}],"mendeley":{"formattedCitation":"(Chen-Bouck et al., 2024)","plainTextFormattedCitation":"(Chen-Bouck et al., 2024)","previouslyFormattedCitation":"(Chen-Bouck et al., 2024)"},"properties":{"noteIndex":0},"schema":"https://github.com/citation-style-language/schema/raw/master/csl-citation.json"}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(Chen-Bouck et al., 2024)</w:t>
      </w:r>
      <w:r w:rsidR="001172F5">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who reported that coping strategies and cognitive emotion regulation are differentially associated with academic outcomes, indicating that the two constructs do not always function in tandem.</w:t>
      </w:r>
    </w:p>
    <w:p w14:paraId="7A198346" w14:textId="307CA850" w:rsid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The absence of a significant relationship also suggests that coping behaviors among nursing students may be shaped by a wider range of contextual and personal influences beyond academic emotion regulation. Previous studies have emphasized the role of family support, peer relationships, resilience, religiosity, personality characteristics, and clinical experiences in shaping students' coping responses</w:t>
      </w:r>
      <w:r w:rsidR="001172F5">
        <w:rPr>
          <w:rFonts w:ascii="Times New Roman" w:hAnsi="Times New Roman" w:cs="Times New Roman"/>
          <w:bCs/>
          <w:color w:val="000000" w:themeColor="text1"/>
          <w:sz w:val="24"/>
          <w:szCs w:val="24"/>
        </w:rPr>
        <w:t xml:space="preserve"> </w:t>
      </w:r>
      <w:r w:rsidR="001172F5">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DOI":"10.1002/nop2.2112","author":[{"dropping-particle":"","family":"Loureiro","given":"Fernanda","non-dropping-particle":"","parse-names":false,"suffix":""},{"dropping-particle":"","family":"Peças","given":"Dina","non-dropping-particle":"","parse-names":false,"suffix":""},{"dropping-particle":"","family":"Cristina","given":"Ana","non-dropping-particle":"","parse-names":false,"suffix":""},{"dropping-particle":"","family":"Ana","given":"Neves","non-dropping-particle":"","parse-names":false,"suffix":""},{"dropping-particle":"","family":"Antunes","given":"Vanessa","non-dropping-particle":"","parse-names":false,"suffix":""}],"id":"ITEM-1","issue":"May 2023","issued":{"date-parts":[["2024"]]},"page":"1-13","title":"Coping strategies and social support in nursing students during clinical practice : A scoping review","type":"article-journal"},"uris":["http://www.mendeley.com/documents/?uuid=d7d67625-ba85-4776-94a8-d0483216c43a"]}],"mendeley":{"formattedCitation":"(Loureiro et al., 2024)","plainTextFormattedCitation":"(Loureiro et al., 2024)","previouslyFormattedCitation":"(Loureiro et al., 2024)"},"properties":{"noteIndex":0},"schema":"https://github.com/citation-style-language/schema/raw/master/csl-citation.json"}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(Loureiro et al., 2024)</w:t>
      </w:r>
      <w:r w:rsidR="001172F5">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xml:space="preserve">. Given the diverse academic and clinical experiences encountered across year levels, these factors may exert a stronger influence on coping behaviors than emotional regulation alone. This perspective may also explain the discrepancy between the present findings and those of </w:t>
      </w:r>
      <w:r w:rsidR="001172F5">
        <w:rPr>
          <w:rFonts w:ascii="Times New Roman" w:hAnsi="Times New Roman" w:cs="Times New Roman"/>
          <w:bCs/>
          <w:color w:val="000000" w:themeColor="text1"/>
          <w:sz w:val="24"/>
          <w:szCs w:val="24"/>
        </w:rPr>
        <w:fldChar w:fldCharType="begin" w:fldLock="1"/>
      </w:r>
      <w:r w:rsidR="001172F5">
        <w:rPr>
          <w:rFonts w:ascii="Times New Roman" w:hAnsi="Times New Roman" w:cs="Times New Roman"/>
          <w:bCs/>
          <w:color w:val="000000" w:themeColor="text1"/>
          <w:sz w:val="24"/>
          <w:szCs w:val="24"/>
        </w:rPr>
        <w:instrText>ADDIN CSL_CITATION {"citationItems":[{"id":"ITEM-1","itemData":{"DOI":"10.3390/ijerph17124293","ISSN":"16604601","PMID":"32560173","abstract":"Achievement emotions constitute one important variable among the many variables of students’ learning. The aim of this research was to analyze the differential effect of university students’ levels of self-regulation (1 = low, 2 = medium and 3 = high), and of their level of perceived stress in three academic situations (1 = class, 2 = study time and 3 = testing), on the type of achievement emotionality they experience (positive and negative emotions). The following hypotheses were established: (1) a higher level of student self-regulation would be accompanied by higher levels of positive emotionality and lower levels of negative emotionality and (2) a higher level of situational stress would predispose higher levels of negative emotionality and lower levels of positive emotionality. A total of 520 university students completed three self-reports with validated inventories. Descriptive, correlational, and structural prediction analyses (SEM) were performed, as well as 3 × 3 ANOVAs, under an ex post facto design by selection. The results showed overall fulfillment of the hypotheses, except for a few specific emotions. Implications for prevention and psychoeducational guidance in the sphere of university education are discussed.","author":[{"dropping-particle":"","family":"la Fuente","given":"Jesús","non-dropping-particle":"de","parse-names":false,"suffix":""},{"dropping-particle":"","family":"Paoloni","given":"Paola Verónica","non-dropping-particle":"","parse-names":false,"suffix":""},{"dropping-particle":"","family":"Vera-Martínez","given":"Manuel Mariano","non-dropping-particle":"","parse-names":false,"suffix":""},{"dropping-particle":"","family":"Garzón-Umerenkova","given":"Angélica","non-dropping-particle":"","parse-names":false,"suffix":""}],"container-title":"International Journal of Environmental Research and Public Health","id":"ITEM-1","issue":"12","issued":{"date-parts":[["2020"]]},"page":"1-20","title":"Effect of levels of self-regulation and situational stress on achievement emotions in undergraduate students: Class, study and testing","type":"article-journal","volume":"17"},"uris":["http://www.mendeley.com/documents/?uuid=61fbb600-cd87-49cf-a6c7-070258675ab8"]}],"mendeley":{"formattedCitation":"(de la Fuente et al., 2020)","manualFormatting":"de la Fuente et al. (2020)","plainTextFormattedCitation":"(de la Fuente et al., 2020)","previouslyFormattedCitation":"(de la Fuente et al., 2020)"},"properties":{"noteIndex":0},"schema":"https://github.com/citation-style-language/schema/raw/master/csl-citation.json"}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de la Fuente et al.</w:t>
      </w:r>
      <w:r w:rsidR="001172F5">
        <w:rPr>
          <w:rFonts w:ascii="Times New Roman" w:hAnsi="Times New Roman" w:cs="Times New Roman"/>
          <w:bCs/>
          <w:noProof/>
          <w:color w:val="000000" w:themeColor="text1"/>
          <w:sz w:val="24"/>
          <w:szCs w:val="24"/>
        </w:rPr>
        <w:t xml:space="preserve"> (</w:t>
      </w:r>
      <w:r w:rsidR="001172F5" w:rsidRPr="001172F5">
        <w:rPr>
          <w:rFonts w:ascii="Times New Roman" w:hAnsi="Times New Roman" w:cs="Times New Roman"/>
          <w:bCs/>
          <w:noProof/>
          <w:color w:val="000000" w:themeColor="text1"/>
          <w:sz w:val="24"/>
          <w:szCs w:val="24"/>
        </w:rPr>
        <w:t>2020)</w:t>
      </w:r>
      <w:r w:rsidR="001172F5">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 who reported significant associations between self-regulation and coping. Variations in educational context, sample characteristics, and environmental demands may account for these contrasting results.</w:t>
      </w:r>
    </w:p>
    <w:p w14:paraId="58E4725F" w14:textId="7BAD12BF" w:rsidR="00F176B3" w:rsidRPr="00E478FA" w:rsidRDefault="00E478FA" w:rsidP="00E478FA">
      <w:pPr>
        <w:spacing w:before="240" w:after="240"/>
        <w:rPr>
          <w:rFonts w:ascii="Times New Roman" w:hAnsi="Times New Roman" w:cs="Times New Roman"/>
          <w:b/>
          <w:color w:val="000000" w:themeColor="text1"/>
          <w:sz w:val="24"/>
          <w:szCs w:val="24"/>
        </w:rPr>
      </w:pPr>
      <w:r w:rsidRPr="00E478FA">
        <w:rPr>
          <w:rFonts w:ascii="Times New Roman" w:hAnsi="Times New Roman" w:cs="Times New Roman"/>
          <w:bCs/>
          <w:color w:val="000000" w:themeColor="text1"/>
          <w:sz w:val="24"/>
          <w:szCs w:val="24"/>
        </w:rPr>
        <w:t>Taken together, the findings portray nursing students as generally equipped with adaptive emotional and coping resources that support their ability to navigate the demands of nursing education. Nevertheless, the moderate level of academic emotion regulation and the limited use of emotional expression highlight opportunities for intervention. Strengthening programs that promote emotional awareness, resilience, healthy emotional expression, peer support, cognitive reappraisal, and problem-solving skills may further enhance students' capacity to manage academic and clinical stress. Such initiatives are particularly important in nursing education, where emotional competence and psychological well-being are essential not only for academic success but also for future professional practice</w:t>
      </w:r>
      <w:r w:rsidR="001172F5">
        <w:rPr>
          <w:rFonts w:ascii="Times New Roman" w:hAnsi="Times New Roman" w:cs="Times New Roman"/>
          <w:bCs/>
          <w:color w:val="000000" w:themeColor="text1"/>
          <w:sz w:val="24"/>
          <w:szCs w:val="24"/>
        </w:rPr>
        <w:t xml:space="preserve"> </w:t>
      </w:r>
      <w:r w:rsidR="001172F5">
        <w:rPr>
          <w:rFonts w:ascii="Times New Roman" w:hAnsi="Times New Roman" w:cs="Times New Roman"/>
          <w:bCs/>
          <w:color w:val="000000" w:themeColor="text1"/>
          <w:sz w:val="24"/>
          <w:szCs w:val="24"/>
        </w:rPr>
        <w:fldChar w:fldCharType="begin" w:fldLock="1"/>
      </w:r>
      <w:r w:rsidR="00026C75">
        <w:rPr>
          <w:rFonts w:ascii="Times New Roman" w:hAnsi="Times New Roman" w:cs="Times New Roman"/>
          <w:bCs/>
          <w:color w:val="000000" w:themeColor="text1"/>
          <w:sz w:val="24"/>
          <w:szCs w:val="24"/>
        </w:rPr>
        <w:instrText>ADDIN CSL_CITATION {"citationItems":[{"id":"ITEM-1","itemData":{"DOI":"10.3389/fpsyg.2022.886344","author":[{"dropping-particle":"","family":"Barbayannis","given":"Georgia","non-dropping-particle":"","parse-names":false,"suffix":""},{"dropping-particle":"","family":"Bandari","given":"Mahindra","non-dropping-particle":"","parse-names":false,"suffix":""},{"dropping-particle":"","family":"Zheng","given":"Xiang","non-dropping-particle":"","parse-names":false,"suffix":""},{"dropping-particle":"","family":"Baquerizo","given":"Humberto","non-dropping-particle":"","parse-names":false,"suffix":""}],"id":"ITEM-1","issue":"May","issued":{"date-parts":[["2022"]]},"page":"1-10","title":"Academic Stress and Mental Well-Being in College Students : Correlations , Affected Groups , and","type":"article-journal","volume":"13"},"uris":["http://www.mendeley.com/documents/?uuid=98821729-dfbb-4bc9-bff7-34ed8bbf9196"]},{"id":"ITEM-2","itemData":{"DOI":"10.1016/j.nedt.2025.106956","ISBN":"1291202503393","ISSN":"15322793","PMID":"38781822","abstract":"Background: Nursing students suffer high levels of stress, especially in the first year. Objectives: to compare academic stress at the beginning and end of nursing studies; to analyse the relationships between academic stress, mental health, and protective factors; and to examine whether resilience mitigates the effect of academic stress on psychological well-being. Design: A cross-sectional study. Setting and participants: Sample was 370 first- and fourth-year nursing students from Spain (University of Castilla-La Mancha, University of Cantabria, and University of Sevilla). Variables and data collection: We assessed academic and clinical stress, coping skills, anxiety, depression, psychological well-being, and resilience were measured. Data analysis: We performed a descriptive analysis of the study sample, as well as correlation and hierarchical regression models. Additionally, mediation models were estimated. Results: First-year students presented higher academic stress than fourth-year students. Clinical stress, anxiety, depression, and emotional coping predicted academic stress, while academic stress, depression, and coping skills predicted psychological well-being. Mediation models showed a significant path between academic stress, resilience, depression, and psychological well-being. Conclusion: Academic stress has a detrimental effect on the mental health. Coping strategies and resilience may be protective factors that should be encouraged in interventions designed to improve psychological well-being.","author":[{"dropping-particle":"","family":"Cabaluna","given":"Johdel","non-dropping-particle":"","parse-names":false,"suffix":""},{"dropping-particle":"","family":"Rosario","given":"Maria Karmela","non-dropping-particle":"Del","parse-names":false,"suffix":""},{"dropping-particle":"","family":"Antipala","given":"Kyla Christine","non-dropping-particle":"","parse-names":false,"suffix":""},{"dropping-particle":"","family":"Alvaran","given":"Mariden Claire","non-dropping-particle":"","parse-names":false,"suffix":""},{"dropping-particle":"","family":"Candelaria","given":"Camille Faye","non-dropping-particle":"","parse-names":false,"suffix":""},{"dropping-particle":"","family":"Eder","given":"Vennieve Jane","non-dropping-particle":"","parse-names":false,"suffix":""},{"dropping-particle":"","family":"Castelo","given":"Ashley Nickole Alexisse","non-dropping-particle":"","parse-names":false,"suffix":""},{"dropping-particle":"","family":"Falguera","given":"Charlie C.","non-dropping-particle":"","parse-names":false,"suffix":""},{"dropping-particle":"","family":"los Santos","given":"Janet Alexis A.","non-dropping-particle":"De","parse-names":false,"suffix":""},{"dropping-particle":"","family":"Firmo","given":"Carmen N.","non-dropping-particle":"","parse-names":false,"suffix":""},{"dropping-particle":"","family":"Batidor","given":"Paulo","non-dropping-particle":"","parse-names":false,"suffix":""},{"dropping-particle":"","family":"Cornu-labat","given":"María A","non-dropping-particle":"","parse-names":false,"suffix":""},{"dropping-particle":"","family":"Zafra","given":"Maria Dolores Onieva","non-dropping-particle":"","parse-names":false,"suffix":""},{"dropping-particle":"","family":"Munoz","given":"Juan Jose Fernandez","non-dropping-particle":"","parse-names":false,"suffix":""},{"dropping-particle":"","family":"Martinez","given":"Elia Fernandez","non-dropping-particle":"","parse-names":false,"suffix":""},{"dropping-particle":"","family":"Sanchez","given":"Francisco Jose Garcia","non-dropping-particle":"","parse-names":false,"suffix":""},{"dropping-particle":"","family":"Sanchez","given":"Ana Abreu","non-dropping-particle":"","parse-names":false,"suffix":""},{"dropping-particle":"","family":"Fernandez","given":"Maria Laura Parra","non-dropping-particle":"","parse-names":false,"suffix":""},{"dropping-particle":"","family":"Yusoff","given":"Muhamad Saiful Bahri","non-dropping-particle":"","parse-names":false,"suffix":""},{"dropping-particle":"","family":"Hadie","given":"Siti Nurma Hanim","non-dropping-particle":"","parse-names":false,"suffix":""},{"dropping-particle":"","family":"Yasin","given":"Mohd Azhar Mohd","non-dropping-particle":"","parse-names":false,"suffix":""},{"dropping-particle":"","family":"Graves","given":"B. Sue","non-dropping-particle":"","parse-names":false,"suffix":""},{"dropping-particle":"","family":"Hall","given":"Michael E.","non-dropping-particle":"","parse-names":false,"suffix":""},{"dropping-particle":"","family":"Dias-Karch","given":"Carolyn","non-dropping-particle":"","parse-names":false,"suffix":""},{"dropping-particle":"","family":"Haischer","given":"Michael H.","non-dropping-particle":"","parse-names":false,"suffix":""},{"dropping-particle":"","family":"Apter","given":"Christine","non-dropping-particle":"","parse-names":false,"suffix":""},{"dropping-particle":"","family":"Sattar","given":"Kamran","non-dropping-particle":"","parse-names":false,"suffix":""},{"dropping-particle":"","family":"Yusoff","given":"Muhamad Saiful Bahri","non-dropping-particle":"","parse-names":false,"suffix":""},{"dropping-particle":"","family":"Arifin","given":"Wan Nor","non-dropping-particle":"","parse-names":false,"suffix":""},{"dropping-particle":"","family":"Yasin","given":"Mohd Azhar Mohd","non-dropping-particle":"","parse-names":false,"suffix":""},{"dropping-particle":"","family":"Nor","given":"Mohd Zarawi Mat","non-dropping-particle":"","parse-names":false,"suffix":""},{"dropping-particle":"","family":"Visier-Alfonso","given":"Ma Eugenia","non-dropping-particle":"","parse-names":false,"suffix":""},{"dropping-particle":"","family":"Sarabia-Cobo","given":"Carmen","non-dropping-particle":"","parse-names":false,"suffix":""},{"dropping-particle":"","family":"Cobo-Cuenca","given":"Ana Isabel","non-dropping-particle":"","parse-names":false,"suffix":""},{"dropping-particle":"","family":"Nieto-López","given":"Marta","non-dropping-particle":"","parse-names":false,"suffix":""},{"dropping-particle":"","family":"López-Honrubia","given":"Rigoberto","non-dropping-particle":"","parse-names":false,"suffix":""},{"dropping-particle":"","family":"Bartolomé-Gutiérrez","given":"Raquel","non-dropping-particle":"","parse-names":false,"suffix":""},{"dropping-particle":"","family":"Alconero-Camarero","given":"Ana Rosa","non-dropping-particle":"","parse-names":false,"suffix":""},{"dropping-particle":"","family":"González-López","given":"José Rafael","non-dropping-particle":"","parse-names":false,"suffix":""},{"dropping-particle":"","family":"Issac","given":"Alwin","non-dropping-particle":"","parse-names":false,"suffix":""},{"dropping-particle":"","family":"Nayak","given":"Shalini Ganesh","non-dropping-particle":"","parse-names":false,"suffix":""},{"dropping-particle":"","family":"Thanaraj","given":"Priyadarshini","non-dropping-particle":"","parse-names":false,"suffix":""},{"dropping-particle":"","family":"George","given":"Rebecca","non-dropping-particle":"","parse-names":false,"suffix":""},{"dropping-particle":"","family":"Srivastava","given":"Saumya P.","non-dropping-particle":"","parse-names":false,"suffix":""},{"dropping-particle":"","family":"Xiao","given":"Lvman","non-dropping-particle":"","parse-names":false,"suffix":""},{"dropping-particle":"","family":"Liu","given":"Yujie","non-dropping-particle":"","parse-names":false,"suffix":""},{"dropping-particle":"","family":"Wu","given":"Min","non-dropping-particle":"","parse-names":false,"suffix":""},{"dropping-particle":"","family":"Jia","given":"Jia","non-dropping-particle":"","parse-names":false,"suffix":""},{"dropping-particle":"","family":"Bao","given":"Zefeng","non-dropping-particle":"","parse-names":false,"suffix":""},{"dropping-particle":"","family":"Tao","given":"Yangxue","non-dropping-particle":"","parse-names":false,"suffix":""},{"dropping-particle":"","family":"Mei","given":"Xin","non-dropping-particle":"","parse-names":false,"suffix":""},{"dropping-particle":"","family":"He","given":"Weiling","non-dropping-particle":"","parse-names":false,"suffix":""},{"dropping-particle":"","family":"Fan","given":"Jinyu","non-dropping-particle":"","parse-names":false,"suffix":""},{"dropping-particle":"","family":"Li","given":"Zhixiao","non-dropping-particle":"","parse-names":false,"suffix":""},{"dropping-particle":"","family":"Tuo","given":"Yiting","non-dropping-particle":"","parse-names":false,"suffix":""},{"dropping-particle":"","family":"Ke","given":"Li","non-dropping-particle":"","parse-names":false,"suffix":""}],"container-title":"Nurse Education Today","id":"ITEM-2","issue":"July 2025","issued":{"date-parts":[["2024"]]},"page":"106956","publisher":"Elsevier Ltd","title":"Stress, mental health, and protective factors in nursing students: An observational study","type":"article-journal","volume":"159"},"uris":["http://www.mendeley.com/documents/?uuid=197c7784-88bc-430b-acc4-f9fd33482456"]}],"mendeley":{"formattedCitation":"(Barbayannis et al., 2022; Cabaluna et al., 2024)","plainTextFormattedCitation":"(Barbayannis et al., 2022; Cabaluna et al., 2024)","previouslyFormattedCitation":"(Barbayannis et al., 2022; Cabaluna et al., 2024)"},"properties":{"noteIndex":0},"schema":"https://github.com/citation-style-language/schema/raw/master/csl-citation.json"}</w:instrText>
      </w:r>
      <w:r w:rsidR="001172F5">
        <w:rPr>
          <w:rFonts w:ascii="Times New Roman" w:hAnsi="Times New Roman" w:cs="Times New Roman"/>
          <w:bCs/>
          <w:color w:val="000000" w:themeColor="text1"/>
          <w:sz w:val="24"/>
          <w:szCs w:val="24"/>
        </w:rPr>
        <w:fldChar w:fldCharType="separate"/>
      </w:r>
      <w:r w:rsidR="001172F5" w:rsidRPr="001172F5">
        <w:rPr>
          <w:rFonts w:ascii="Times New Roman" w:hAnsi="Times New Roman" w:cs="Times New Roman"/>
          <w:bCs/>
          <w:noProof/>
          <w:color w:val="000000" w:themeColor="text1"/>
          <w:sz w:val="24"/>
          <w:szCs w:val="24"/>
        </w:rPr>
        <w:t>(Barbayannis et al., 2022; Cabaluna et al., 2024)</w:t>
      </w:r>
      <w:r w:rsidR="001172F5">
        <w:rPr>
          <w:rFonts w:ascii="Times New Roman" w:hAnsi="Times New Roman" w:cs="Times New Roman"/>
          <w:bCs/>
          <w:color w:val="000000" w:themeColor="text1"/>
          <w:sz w:val="24"/>
          <w:szCs w:val="24"/>
        </w:rPr>
        <w:fldChar w:fldCharType="end"/>
      </w:r>
      <w:r w:rsidRPr="00E478FA">
        <w:rPr>
          <w:rFonts w:ascii="Times New Roman" w:hAnsi="Times New Roman" w:cs="Times New Roman"/>
          <w:bCs/>
          <w:color w:val="000000" w:themeColor="text1"/>
          <w:sz w:val="24"/>
          <w:szCs w:val="24"/>
        </w:rPr>
        <w:t>.</w:t>
      </w:r>
    </w:p>
    <w:p w14:paraId="62ED38F4" w14:textId="77777777" w:rsidR="00692274" w:rsidRDefault="00F176B3" w:rsidP="00692274">
      <w:pPr>
        <w:spacing w:before="240" w:after="240"/>
        <w:jc w:val="left"/>
        <w:rPr>
          <w:rFonts w:ascii="Times New Roman" w:hAnsi="Times New Roman" w:cs="Times New Roman"/>
          <w:b/>
          <w:color w:val="000000" w:themeColor="text1"/>
          <w:sz w:val="24"/>
          <w:szCs w:val="24"/>
        </w:rPr>
      </w:pPr>
      <w:r w:rsidRPr="00540B7B">
        <w:rPr>
          <w:rFonts w:ascii="Times New Roman" w:hAnsi="Times New Roman" w:cs="Times New Roman"/>
          <w:b/>
          <w:color w:val="000000" w:themeColor="text1"/>
          <w:sz w:val="24"/>
          <w:szCs w:val="24"/>
        </w:rPr>
        <w:t>CONCLUSION</w:t>
      </w:r>
    </w:p>
    <w:p w14:paraId="42AB8DA7" w14:textId="77777777" w:rsidR="00692274" w:rsidRDefault="00692274" w:rsidP="00692274">
      <w:pPr>
        <w:spacing w:before="240" w:after="240"/>
        <w:rPr>
          <w:rFonts w:ascii="Times New Roman" w:hAnsi="Times New Roman" w:cs="Times New Roman"/>
          <w:color w:val="000000" w:themeColor="text1"/>
          <w:sz w:val="24"/>
          <w:szCs w:val="24"/>
        </w:rPr>
      </w:pPr>
      <w:r w:rsidRPr="00692274">
        <w:rPr>
          <w:rFonts w:ascii="Times New Roman" w:hAnsi="Times New Roman" w:cs="Times New Roman"/>
          <w:color w:val="000000" w:themeColor="text1"/>
          <w:sz w:val="24"/>
          <w:szCs w:val="24"/>
        </w:rPr>
        <w:t>Nursing students generally demonstrate moderate academic emotion regulation and high levels of adaptive coping strategies. They commonly regulate academic emotions through competency development, attentional control, cognitive reappraisal, and respiration, while relying on problem-solving, religiosity, social support, and positive cognitive restructuring to cope with academic and clinical stressors. Although academic emotion regulation and coping strategies were both evident among the respondents, no significant relationship was found between the two variables, suggesting that they may operate through distinct mechanisms and be influenced by different personal and contextual factors. The findings underscore the importance of strengthening programs that promote emotional regulation, resilience, healthy emotional expression, social support, and adaptive coping to enhance nursing students’ well-being, academic adjustment, and readiness for professional practice.</w:t>
      </w:r>
      <w:r w:rsidR="00F176B3" w:rsidRPr="00540B7B">
        <w:rPr>
          <w:rFonts w:ascii="Times New Roman" w:hAnsi="Times New Roman" w:cs="Times New Roman"/>
          <w:color w:val="000000" w:themeColor="text1"/>
          <w:sz w:val="24"/>
          <w:szCs w:val="24"/>
        </w:rPr>
        <w:t xml:space="preserve"> </w:t>
      </w:r>
    </w:p>
    <w:p w14:paraId="15C5E7D8" w14:textId="334D9721" w:rsidR="00F176B3" w:rsidRPr="00692274" w:rsidRDefault="00F176B3" w:rsidP="00692274">
      <w:pPr>
        <w:spacing w:before="240" w:after="240"/>
        <w:rPr>
          <w:rFonts w:ascii="Times New Roman" w:hAnsi="Times New Roman" w:cs="Times New Roman"/>
          <w:color w:val="000000" w:themeColor="text1"/>
          <w:sz w:val="24"/>
          <w:szCs w:val="24"/>
        </w:rPr>
      </w:pPr>
      <w:r w:rsidRPr="00540B7B">
        <w:rPr>
          <w:rFonts w:ascii="Times New Roman" w:hAnsi="Times New Roman" w:cs="Times New Roman"/>
          <w:b/>
          <w:color w:val="000000" w:themeColor="text1"/>
          <w:sz w:val="24"/>
          <w:szCs w:val="24"/>
        </w:rPr>
        <w:t>RECOMMENDATION</w:t>
      </w:r>
    </w:p>
    <w:p w14:paraId="1C8CD662" w14:textId="1B41C51F" w:rsidR="00136519" w:rsidRDefault="00F176B3" w:rsidP="006A20FB">
      <w:pPr>
        <w:spacing w:before="240" w:after="240"/>
        <w:rPr>
          <w:rFonts w:ascii="Times New Roman" w:hAnsi="Times New Roman" w:cs="Times New Roman"/>
          <w:color w:val="000000" w:themeColor="text1"/>
          <w:sz w:val="24"/>
          <w:szCs w:val="24"/>
        </w:rPr>
      </w:pPr>
      <w:r w:rsidRPr="00540B7B">
        <w:rPr>
          <w:rFonts w:ascii="Times New Roman" w:hAnsi="Times New Roman" w:cs="Times New Roman"/>
          <w:b/>
          <w:color w:val="000000" w:themeColor="text1"/>
          <w:sz w:val="24"/>
          <w:szCs w:val="24"/>
        </w:rPr>
        <w:tab/>
      </w:r>
      <w:r w:rsidR="00692274" w:rsidRPr="00692274">
        <w:rPr>
          <w:rFonts w:ascii="Times New Roman" w:hAnsi="Times New Roman" w:cs="Times New Roman"/>
          <w:color w:val="000000" w:themeColor="text1"/>
          <w:sz w:val="24"/>
          <w:szCs w:val="24"/>
        </w:rPr>
        <w:t>Nursing schools, faculty members, guidance counselors, and student affairs practitioners may utilize the findings to strengthen programs that promote academic emotion regulation, adaptive coping, resilience, and psychological well-being among nursing students. Interventions such as stress management workshops, peer support programs, counseling services, emotional regulation training, and resilience-building activities may be integrated into student development initiatives to enhance students’ capacity to manage academic and clinical demands. Future studies may examine other factors influencing academic emotion regulation and coping strategies, including resilience, emotional intelligence, social support, personality traits, and academic stress, using longitudinal, mixed-method, or multi-institutional research designs to provide a more comprehensive understanding of nursing students’ psychological adjustment.</w:t>
      </w:r>
      <w:r w:rsidR="00692274">
        <w:rPr>
          <w:rFonts w:ascii="Times New Roman" w:hAnsi="Times New Roman" w:cs="Times New Roman"/>
          <w:color w:val="000000" w:themeColor="text1"/>
          <w:sz w:val="24"/>
          <w:szCs w:val="24"/>
        </w:rPr>
        <w:t xml:space="preserve"> </w:t>
      </w:r>
    </w:p>
    <w:p w14:paraId="1730DB6E" w14:textId="227600D8" w:rsidR="00026C75" w:rsidRDefault="00DF71F5" w:rsidP="00FF6736">
      <w:pPr>
        <w:spacing w:before="240" w:after="240"/>
        <w:rPr>
          <w:rFonts w:ascii="Times New Roman" w:hAnsi="Times New Roman" w:cs="Times New Roman"/>
          <w:noProof/>
          <w:sz w:val="24"/>
          <w:szCs w:val="24"/>
        </w:rPr>
      </w:pPr>
      <w:r w:rsidRPr="00DF71F5">
        <w:rPr>
          <w:rFonts w:ascii="Times New Roman" w:hAnsi="Times New Roman" w:cs="Times New Roman"/>
          <w:b/>
          <w:bCs/>
          <w:color w:val="000000" w:themeColor="text1"/>
          <w:sz w:val="24"/>
          <w:szCs w:val="24"/>
        </w:rPr>
        <w:lastRenderedPageBreak/>
        <w:t>REFERENCES</w:t>
      </w:r>
      <w:r w:rsidR="00026C75" w:rsidRPr="004E6778">
        <w:rPr>
          <w:rFonts w:ascii="Times New Roman" w:hAnsi="Times New Roman" w:cs="Times New Roman"/>
          <w:color w:val="000000" w:themeColor="text1"/>
          <w:sz w:val="24"/>
          <w:szCs w:val="24"/>
        </w:rPr>
        <w:fldChar w:fldCharType="begin" w:fldLock="1"/>
      </w:r>
      <w:r w:rsidR="00026C75" w:rsidRPr="004E6778">
        <w:rPr>
          <w:rFonts w:ascii="Times New Roman" w:hAnsi="Times New Roman" w:cs="Times New Roman"/>
          <w:color w:val="000000" w:themeColor="text1"/>
          <w:sz w:val="24"/>
          <w:szCs w:val="24"/>
        </w:rPr>
        <w:instrText xml:space="preserve">ADDIN Mendeley Bibliography CSL_BIBLIOGRAPHY </w:instrText>
      </w:r>
      <w:r w:rsidR="00026C75" w:rsidRPr="004E6778">
        <w:rPr>
          <w:rFonts w:ascii="Times New Roman" w:hAnsi="Times New Roman" w:cs="Times New Roman"/>
          <w:color w:val="000000" w:themeColor="text1"/>
          <w:sz w:val="24"/>
          <w:szCs w:val="24"/>
        </w:rPr>
        <w:fldChar w:fldCharType="separate"/>
      </w:r>
    </w:p>
    <w:p w14:paraId="55136653" w14:textId="77777777" w:rsidR="004E6778" w:rsidRDefault="004E6778" w:rsidP="004E6778">
      <w:pPr>
        <w:pStyle w:val="ListParagraph"/>
        <w:widowControl w:val="0"/>
        <w:autoSpaceDE w:val="0"/>
        <w:autoSpaceDN w:val="0"/>
        <w:adjustRightInd w:val="0"/>
        <w:spacing w:before="240" w:after="240"/>
        <w:ind w:left="426"/>
        <w:rPr>
          <w:rFonts w:ascii="Times New Roman" w:hAnsi="Times New Roman" w:cs="Times New Roman"/>
          <w:noProof/>
          <w:sz w:val="24"/>
          <w:szCs w:val="24"/>
        </w:rPr>
      </w:pPr>
    </w:p>
    <w:p w14:paraId="2D65F92D" w14:textId="3C15082B" w:rsidR="004E6778" w:rsidRDefault="004E6778" w:rsidP="004E6778">
      <w:pPr>
        <w:pStyle w:val="ListParagraph"/>
        <w:widowControl w:val="0"/>
        <w:numPr>
          <w:ilvl w:val="0"/>
          <w:numId w:val="10"/>
        </w:numPr>
        <w:autoSpaceDE w:val="0"/>
        <w:autoSpaceDN w:val="0"/>
        <w:adjustRightInd w:val="0"/>
        <w:spacing w:before="240" w:after="240"/>
        <w:ind w:left="426" w:hanging="426"/>
        <w:rPr>
          <w:rFonts w:ascii="Times New Roman" w:hAnsi="Times New Roman" w:cs="Times New Roman"/>
          <w:noProof/>
          <w:sz w:val="24"/>
          <w:szCs w:val="24"/>
        </w:rPr>
      </w:pPr>
      <w:r w:rsidRPr="004E6778">
        <w:rPr>
          <w:rFonts w:ascii="Times New Roman" w:hAnsi="Times New Roman" w:cs="Times New Roman"/>
          <w:noProof/>
          <w:sz w:val="24"/>
          <w:szCs w:val="24"/>
        </w:rPr>
        <w:t xml:space="preserve">Alkharj, S., Alsalamah, Y. S., Allari, R., Alharbi, M. S., Alslamah, T., Babkair, L., Labani, S., &amp; Fawaz, M. (2024). Stress and academic engagement among Saudi undergraduate nursing students: The mediating role of emotion regulation and emotional intelligence. </w:t>
      </w:r>
      <w:r w:rsidRPr="004E6778">
        <w:rPr>
          <w:rFonts w:ascii="Times New Roman" w:hAnsi="Times New Roman" w:cs="Times New Roman"/>
          <w:i/>
          <w:iCs/>
          <w:noProof/>
          <w:sz w:val="24"/>
          <w:szCs w:val="24"/>
        </w:rPr>
        <w:t>Nursing Open</w:t>
      </w:r>
      <w:r w:rsidRPr="004E6778">
        <w:rPr>
          <w:rFonts w:ascii="Times New Roman" w:hAnsi="Times New Roman" w:cs="Times New Roman"/>
          <w:noProof/>
          <w:sz w:val="24"/>
          <w:szCs w:val="24"/>
        </w:rPr>
        <w:t xml:space="preserve">, </w:t>
      </w:r>
      <w:r w:rsidRPr="004E6778">
        <w:rPr>
          <w:rFonts w:ascii="Times New Roman" w:hAnsi="Times New Roman" w:cs="Times New Roman"/>
          <w:i/>
          <w:iCs/>
          <w:noProof/>
          <w:sz w:val="24"/>
          <w:szCs w:val="24"/>
        </w:rPr>
        <w:t>11</w:t>
      </w:r>
      <w:r w:rsidRPr="004E6778">
        <w:rPr>
          <w:rFonts w:ascii="Times New Roman" w:hAnsi="Times New Roman" w:cs="Times New Roman"/>
          <w:noProof/>
          <w:sz w:val="24"/>
          <w:szCs w:val="24"/>
        </w:rPr>
        <w:t>(5), 1–12. https://doi.org/10.1002/nop2.2167</w:t>
      </w:r>
      <w:r>
        <w:rPr>
          <w:rFonts w:ascii="Times New Roman" w:hAnsi="Times New Roman" w:cs="Times New Roman"/>
          <w:noProof/>
          <w:sz w:val="24"/>
          <w:szCs w:val="24"/>
        </w:rPr>
        <w:t xml:space="preserve"> </w:t>
      </w:r>
    </w:p>
    <w:p w14:paraId="0DE724C7" w14:textId="77777777" w:rsidR="004E6778" w:rsidRDefault="004E6778" w:rsidP="004E6778">
      <w:pPr>
        <w:pStyle w:val="ListParagraph"/>
        <w:widowControl w:val="0"/>
        <w:autoSpaceDE w:val="0"/>
        <w:autoSpaceDN w:val="0"/>
        <w:adjustRightInd w:val="0"/>
        <w:spacing w:before="240" w:after="240"/>
        <w:ind w:left="426"/>
        <w:rPr>
          <w:rFonts w:ascii="Times New Roman" w:hAnsi="Times New Roman" w:cs="Times New Roman"/>
          <w:noProof/>
          <w:sz w:val="24"/>
          <w:szCs w:val="24"/>
        </w:rPr>
      </w:pPr>
    </w:p>
    <w:p w14:paraId="3C27A9CF" w14:textId="77777777" w:rsidR="004E6778" w:rsidRDefault="004E6778" w:rsidP="007B1745">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4E6778">
        <w:rPr>
          <w:rFonts w:ascii="Times New Roman" w:hAnsi="Times New Roman" w:cs="Times New Roman"/>
          <w:noProof/>
          <w:sz w:val="24"/>
          <w:szCs w:val="24"/>
        </w:rPr>
        <w:t xml:space="preserve">Balideh, D., Nejati, F., &amp; Torkaman, M. (2025). Emotional regulation training for nursing students: effects on emotional adjustment and psychological distress. </w:t>
      </w:r>
      <w:r w:rsidRPr="004E6778">
        <w:rPr>
          <w:rFonts w:ascii="Times New Roman" w:hAnsi="Times New Roman" w:cs="Times New Roman"/>
          <w:i/>
          <w:iCs/>
          <w:noProof/>
          <w:sz w:val="24"/>
          <w:szCs w:val="24"/>
        </w:rPr>
        <w:t>BMC Nursing</w:t>
      </w:r>
      <w:r w:rsidRPr="004E6778">
        <w:rPr>
          <w:rFonts w:ascii="Times New Roman" w:hAnsi="Times New Roman" w:cs="Times New Roman"/>
          <w:noProof/>
          <w:sz w:val="24"/>
          <w:szCs w:val="24"/>
        </w:rPr>
        <w:t xml:space="preserve">, </w:t>
      </w:r>
      <w:r w:rsidRPr="004E6778">
        <w:rPr>
          <w:rFonts w:ascii="Times New Roman" w:hAnsi="Times New Roman" w:cs="Times New Roman"/>
          <w:i/>
          <w:iCs/>
          <w:noProof/>
          <w:sz w:val="24"/>
          <w:szCs w:val="24"/>
        </w:rPr>
        <w:t>24</w:t>
      </w:r>
      <w:r w:rsidRPr="004E6778">
        <w:rPr>
          <w:rFonts w:ascii="Times New Roman" w:hAnsi="Times New Roman" w:cs="Times New Roman"/>
          <w:noProof/>
          <w:sz w:val="24"/>
          <w:szCs w:val="24"/>
        </w:rPr>
        <w:t>(1), 1–9. https://doi.org/10.1186/s12912-025-04029-1</w:t>
      </w:r>
    </w:p>
    <w:p w14:paraId="58AA3DAB" w14:textId="77777777" w:rsidR="004E6778" w:rsidRPr="004E6778" w:rsidRDefault="004E6778" w:rsidP="004E6778">
      <w:pPr>
        <w:pStyle w:val="ListParagraph"/>
        <w:rPr>
          <w:rFonts w:ascii="Times New Roman" w:hAnsi="Times New Roman" w:cs="Times New Roman"/>
          <w:noProof/>
          <w:sz w:val="24"/>
          <w:szCs w:val="24"/>
        </w:rPr>
      </w:pPr>
    </w:p>
    <w:p w14:paraId="727EA706" w14:textId="5118B6BF" w:rsidR="00E02149" w:rsidRPr="004E6778" w:rsidRDefault="00026C75" w:rsidP="007B1745">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4E6778">
        <w:rPr>
          <w:rFonts w:ascii="Times New Roman" w:hAnsi="Times New Roman" w:cs="Times New Roman"/>
          <w:noProof/>
          <w:sz w:val="24"/>
          <w:szCs w:val="24"/>
        </w:rPr>
        <w:t xml:space="preserve">Barbayannis, G., Bandari, M., Zheng, X., &amp; Baquerizo, H. (2022). </w:t>
      </w:r>
      <w:r w:rsidRPr="004E6778">
        <w:rPr>
          <w:rFonts w:ascii="Times New Roman" w:hAnsi="Times New Roman" w:cs="Times New Roman"/>
          <w:i/>
          <w:iCs/>
          <w:noProof/>
          <w:sz w:val="24"/>
          <w:szCs w:val="24"/>
        </w:rPr>
        <w:t>Academic Stress and Mental Well-Being in College Students : Correlations , Affected Groups , and</w:t>
      </w:r>
      <w:r w:rsidRPr="004E6778">
        <w:rPr>
          <w:rFonts w:ascii="Times New Roman" w:hAnsi="Times New Roman" w:cs="Times New Roman"/>
          <w:noProof/>
          <w:sz w:val="24"/>
          <w:szCs w:val="24"/>
        </w:rPr>
        <w:t xml:space="preserve">. </w:t>
      </w:r>
      <w:r w:rsidRPr="004E6778">
        <w:rPr>
          <w:rFonts w:ascii="Times New Roman" w:hAnsi="Times New Roman" w:cs="Times New Roman"/>
          <w:i/>
          <w:iCs/>
          <w:noProof/>
          <w:sz w:val="24"/>
          <w:szCs w:val="24"/>
        </w:rPr>
        <w:t>13</w:t>
      </w:r>
      <w:r w:rsidRPr="004E6778">
        <w:rPr>
          <w:rFonts w:ascii="Times New Roman" w:hAnsi="Times New Roman" w:cs="Times New Roman"/>
          <w:noProof/>
          <w:sz w:val="24"/>
          <w:szCs w:val="24"/>
        </w:rPr>
        <w:t>(May), 1–10. https://doi.org/10.3389/fpsyg.2022.886344</w:t>
      </w:r>
    </w:p>
    <w:p w14:paraId="7FDA8949" w14:textId="77777777" w:rsidR="00E02149" w:rsidRPr="00E02149" w:rsidRDefault="00E02149" w:rsidP="00E02149">
      <w:pPr>
        <w:pStyle w:val="ListParagraph"/>
        <w:rPr>
          <w:rFonts w:ascii="Times New Roman" w:hAnsi="Times New Roman" w:cs="Times New Roman"/>
          <w:color w:val="222222"/>
          <w:sz w:val="24"/>
          <w:szCs w:val="24"/>
          <w:shd w:val="clear" w:color="auto" w:fill="FFFFFF"/>
        </w:rPr>
      </w:pPr>
    </w:p>
    <w:p w14:paraId="12940B5A" w14:textId="7865BFDE" w:rsidR="00E02149" w:rsidRPr="00E02149" w:rsidRDefault="00E02149" w:rsidP="00E02149">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E02149">
        <w:rPr>
          <w:rFonts w:ascii="Times New Roman" w:hAnsi="Times New Roman" w:cs="Times New Roman"/>
          <w:color w:val="222222"/>
          <w:sz w:val="24"/>
          <w:szCs w:val="24"/>
          <w:shd w:val="clear" w:color="auto" w:fill="FFFFFF"/>
        </w:rPr>
        <w:t>Bloomfield, J., &amp; Fisher, M. J. (2019). Quantitative research design. </w:t>
      </w:r>
      <w:r w:rsidRPr="00E02149">
        <w:rPr>
          <w:rFonts w:ascii="Times New Roman" w:hAnsi="Times New Roman" w:cs="Times New Roman"/>
          <w:i/>
          <w:iCs/>
          <w:color w:val="222222"/>
          <w:sz w:val="24"/>
          <w:szCs w:val="24"/>
          <w:shd w:val="clear" w:color="auto" w:fill="FFFFFF"/>
        </w:rPr>
        <w:t>Journal of the Australasian Rehabilitation Nurses Association</w:t>
      </w:r>
      <w:r w:rsidRPr="00E02149">
        <w:rPr>
          <w:rFonts w:ascii="Times New Roman" w:hAnsi="Times New Roman" w:cs="Times New Roman"/>
          <w:color w:val="222222"/>
          <w:sz w:val="24"/>
          <w:szCs w:val="24"/>
          <w:shd w:val="clear" w:color="auto" w:fill="FFFFFF"/>
        </w:rPr>
        <w:t>, </w:t>
      </w:r>
      <w:r w:rsidRPr="00E02149">
        <w:rPr>
          <w:rFonts w:ascii="Times New Roman" w:hAnsi="Times New Roman" w:cs="Times New Roman"/>
          <w:i/>
          <w:iCs/>
          <w:color w:val="222222"/>
          <w:sz w:val="24"/>
          <w:szCs w:val="24"/>
          <w:shd w:val="clear" w:color="auto" w:fill="FFFFFF"/>
        </w:rPr>
        <w:t>22</w:t>
      </w:r>
      <w:r w:rsidRPr="00E02149">
        <w:rPr>
          <w:rFonts w:ascii="Times New Roman" w:hAnsi="Times New Roman" w:cs="Times New Roman"/>
          <w:color w:val="222222"/>
          <w:sz w:val="24"/>
          <w:szCs w:val="24"/>
          <w:shd w:val="clear" w:color="auto" w:fill="FFFFFF"/>
        </w:rPr>
        <w:t>(2), 27-30.</w:t>
      </w:r>
    </w:p>
    <w:p w14:paraId="1E4C0398" w14:textId="77777777" w:rsidR="00026C75" w:rsidRPr="00026C75" w:rsidRDefault="00026C75" w:rsidP="00026C75">
      <w:pPr>
        <w:pStyle w:val="ListParagraph"/>
        <w:rPr>
          <w:rFonts w:ascii="Times New Roman" w:hAnsi="Times New Roman" w:cs="Times New Roman"/>
          <w:noProof/>
          <w:sz w:val="24"/>
          <w:szCs w:val="24"/>
        </w:rPr>
      </w:pPr>
    </w:p>
    <w:p w14:paraId="04D986C9" w14:textId="77777777" w:rsidR="00026C75" w:rsidRDefault="00026C75" w:rsidP="001B2F7D">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Burić, I., Sorić, I., &amp; Penezić, Z. (2016). Emotion regulation in academic domain: Development and validation of the academic emotion regulation questionnaire (AERQ). </w:t>
      </w:r>
      <w:r w:rsidRPr="00026C75">
        <w:rPr>
          <w:rFonts w:ascii="Times New Roman" w:hAnsi="Times New Roman" w:cs="Times New Roman"/>
          <w:i/>
          <w:iCs/>
          <w:noProof/>
          <w:sz w:val="24"/>
          <w:szCs w:val="24"/>
        </w:rPr>
        <w:t>Personality and Individual Differences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96</w:t>
      </w:r>
      <w:r w:rsidRPr="00026C75">
        <w:rPr>
          <w:rFonts w:ascii="Times New Roman" w:hAnsi="Times New Roman" w:cs="Times New Roman"/>
          <w:noProof/>
          <w:sz w:val="24"/>
          <w:szCs w:val="24"/>
        </w:rPr>
        <w:t>, 138–147. https://doi.org/10.1016/j.paid.2016.02.074</w:t>
      </w:r>
    </w:p>
    <w:p w14:paraId="2814813F" w14:textId="77777777" w:rsidR="00026C75" w:rsidRPr="00026C75" w:rsidRDefault="00026C75" w:rsidP="00026C75">
      <w:pPr>
        <w:pStyle w:val="ListParagraph"/>
        <w:rPr>
          <w:rFonts w:ascii="Times New Roman" w:hAnsi="Times New Roman" w:cs="Times New Roman"/>
          <w:noProof/>
          <w:sz w:val="24"/>
          <w:szCs w:val="24"/>
        </w:rPr>
      </w:pPr>
    </w:p>
    <w:p w14:paraId="42A689B0" w14:textId="77777777" w:rsidR="00026C75" w:rsidRDefault="00026C75" w:rsidP="00246CFD">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Cabaluna, J., Del Rosario, M. K., Antipala, K. C., Alvaran, M. C., Candelaria, C. F., Eder, V. J., Castelo, A. N. A., Falguera, C. C., De los Santos, J. A. A., Firmo, C. N., Batidor, P., Cornu-labat, M. A., Zafra, M. D. O., Munoz, J. J. F., Martinez, E. F., Sanchez, F. J. G., Sanchez, A. A., Fernandez, M. L. P., Yusoff, M. S. B., … Ke, L. (2024). Stress, mental health, and protective factors in nursing students: An observational study. </w:t>
      </w:r>
      <w:r w:rsidRPr="00026C75">
        <w:rPr>
          <w:rFonts w:ascii="Times New Roman" w:hAnsi="Times New Roman" w:cs="Times New Roman"/>
          <w:i/>
          <w:iCs/>
          <w:noProof/>
          <w:sz w:val="24"/>
          <w:szCs w:val="24"/>
        </w:rPr>
        <w:t>Nurse Education Today</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159</w:t>
      </w:r>
      <w:r w:rsidRPr="00026C75">
        <w:rPr>
          <w:rFonts w:ascii="Times New Roman" w:hAnsi="Times New Roman" w:cs="Times New Roman"/>
          <w:noProof/>
          <w:sz w:val="24"/>
          <w:szCs w:val="24"/>
        </w:rPr>
        <w:t>(July 2025), 106956. https://doi.org/10.1016/j.nedt.2025.106956</w:t>
      </w:r>
    </w:p>
    <w:p w14:paraId="09FD04C6" w14:textId="77777777" w:rsidR="00026C75" w:rsidRPr="00026C75" w:rsidRDefault="00026C75" w:rsidP="00026C75">
      <w:pPr>
        <w:pStyle w:val="ListParagraph"/>
        <w:rPr>
          <w:rFonts w:ascii="Times New Roman" w:hAnsi="Times New Roman" w:cs="Times New Roman"/>
          <w:noProof/>
          <w:sz w:val="24"/>
          <w:szCs w:val="24"/>
        </w:rPr>
      </w:pPr>
    </w:p>
    <w:p w14:paraId="21EC9B01" w14:textId="77777777" w:rsidR="00026C75" w:rsidRDefault="00026C75" w:rsidP="00545169">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Chen-Bouck, L., Patterson, M. M., &amp; Peng, A. (2024). Relations of coping strategies and cognitive emotion regulation to Chinese children’s academic achievement goals and academic performance. </w:t>
      </w:r>
      <w:r w:rsidRPr="00026C75">
        <w:rPr>
          <w:rFonts w:ascii="Times New Roman" w:hAnsi="Times New Roman" w:cs="Times New Roman"/>
          <w:i/>
          <w:iCs/>
          <w:noProof/>
          <w:sz w:val="24"/>
          <w:szCs w:val="24"/>
        </w:rPr>
        <w:t>Frontiers in Psychology</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15</w:t>
      </w:r>
      <w:r w:rsidRPr="00026C75">
        <w:rPr>
          <w:rFonts w:ascii="Times New Roman" w:hAnsi="Times New Roman" w:cs="Times New Roman"/>
          <w:noProof/>
          <w:sz w:val="24"/>
          <w:szCs w:val="24"/>
        </w:rPr>
        <w:t>(October), 1–11. https://doi.org/10.3389/fpsyg.2024.1454886</w:t>
      </w:r>
    </w:p>
    <w:p w14:paraId="0D033189" w14:textId="77777777" w:rsidR="00026C75" w:rsidRPr="00026C75" w:rsidRDefault="00026C75" w:rsidP="00026C75">
      <w:pPr>
        <w:pStyle w:val="ListParagraph"/>
        <w:rPr>
          <w:rFonts w:ascii="Times New Roman" w:hAnsi="Times New Roman" w:cs="Times New Roman"/>
          <w:noProof/>
          <w:sz w:val="24"/>
          <w:szCs w:val="24"/>
        </w:rPr>
      </w:pPr>
    </w:p>
    <w:p w14:paraId="71FF14B6" w14:textId="77777777" w:rsidR="00026C75" w:rsidRDefault="00026C75" w:rsidP="005369FD">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Chen, M., Huang, L., Qin, Q., &amp; Li, J. (2025). </w:t>
      </w:r>
      <w:r w:rsidRPr="00026C75">
        <w:rPr>
          <w:rFonts w:ascii="Times New Roman" w:hAnsi="Times New Roman" w:cs="Times New Roman"/>
          <w:i/>
          <w:iCs/>
          <w:noProof/>
          <w:sz w:val="24"/>
          <w:szCs w:val="24"/>
        </w:rPr>
        <w:t>Impact of expressive suppression on subthreshold depression among college students : a moderated mediation model</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October</w:t>
      </w:r>
      <w:r w:rsidRPr="00026C75">
        <w:rPr>
          <w:rFonts w:ascii="Times New Roman" w:hAnsi="Times New Roman" w:cs="Times New Roman"/>
          <w:noProof/>
          <w:sz w:val="24"/>
          <w:szCs w:val="24"/>
        </w:rPr>
        <w:t>, 1–9. https://doi.org/10.3389/fpsyg.2025.1678275</w:t>
      </w:r>
    </w:p>
    <w:p w14:paraId="61CA7A82" w14:textId="77777777" w:rsidR="00026C75" w:rsidRPr="00026C75" w:rsidRDefault="00026C75" w:rsidP="00026C75">
      <w:pPr>
        <w:pStyle w:val="ListParagraph"/>
        <w:rPr>
          <w:rFonts w:ascii="Times New Roman" w:hAnsi="Times New Roman" w:cs="Times New Roman"/>
          <w:noProof/>
          <w:sz w:val="24"/>
          <w:szCs w:val="24"/>
        </w:rPr>
      </w:pPr>
    </w:p>
    <w:p w14:paraId="0AFAA013" w14:textId="77777777" w:rsidR="00026C75" w:rsidRDefault="00026C75" w:rsidP="00111300">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de la Fuente, J., Paoloni, P. V., Vera-Martínez, M. M., &amp; Garzón-Umerenkova, A. (2020). Effect of levels of self-regulation and situational stress on achievement emotions in undergraduate students: Class, study and testing. </w:t>
      </w:r>
      <w:r w:rsidRPr="00026C75">
        <w:rPr>
          <w:rFonts w:ascii="Times New Roman" w:hAnsi="Times New Roman" w:cs="Times New Roman"/>
          <w:i/>
          <w:iCs/>
          <w:noProof/>
          <w:sz w:val="24"/>
          <w:szCs w:val="24"/>
        </w:rPr>
        <w:t>International Journal of Environmental Research and Public Health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17</w:t>
      </w:r>
      <w:r w:rsidRPr="00026C75">
        <w:rPr>
          <w:rFonts w:ascii="Times New Roman" w:hAnsi="Times New Roman" w:cs="Times New Roman"/>
          <w:noProof/>
          <w:sz w:val="24"/>
          <w:szCs w:val="24"/>
        </w:rPr>
        <w:t>(12), 1–20. https://doi.org/10.3390/ijerph17124293</w:t>
      </w:r>
    </w:p>
    <w:p w14:paraId="4BDBB5AB" w14:textId="77777777" w:rsidR="00026C75" w:rsidRPr="00026C75" w:rsidRDefault="00026C75" w:rsidP="00026C75">
      <w:pPr>
        <w:pStyle w:val="ListParagraph"/>
        <w:rPr>
          <w:rFonts w:ascii="Times New Roman" w:hAnsi="Times New Roman" w:cs="Times New Roman"/>
          <w:noProof/>
          <w:sz w:val="24"/>
          <w:szCs w:val="24"/>
        </w:rPr>
      </w:pPr>
    </w:p>
    <w:p w14:paraId="15EAF139" w14:textId="77777777" w:rsidR="00026C75" w:rsidRDefault="00026C75" w:rsidP="00E855B5">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Dias, J. M., Subu, M. A., Al-Yateem, N., Ahmed, F. R., Rahman, S. A., Abraham, M. S., Forootan, S. M., Sarkhosh, F. A., &amp; Javanbakh, F. (2024). Nursing students’ stressors and coping strategies during their first clinical training: a qualitative study in the United Arab Emirates. </w:t>
      </w:r>
      <w:r w:rsidRPr="00026C75">
        <w:rPr>
          <w:rFonts w:ascii="Times New Roman" w:hAnsi="Times New Roman" w:cs="Times New Roman"/>
          <w:i/>
          <w:iCs/>
          <w:noProof/>
          <w:sz w:val="24"/>
          <w:szCs w:val="24"/>
        </w:rPr>
        <w:t>BMC Nursing</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23</w:t>
      </w:r>
      <w:r w:rsidRPr="00026C75">
        <w:rPr>
          <w:rFonts w:ascii="Times New Roman" w:hAnsi="Times New Roman" w:cs="Times New Roman"/>
          <w:noProof/>
          <w:sz w:val="24"/>
          <w:szCs w:val="24"/>
        </w:rPr>
        <w:t>(1), 1–11. https://doi.org/10.1186/s12912-024-01962-5</w:t>
      </w:r>
    </w:p>
    <w:p w14:paraId="7134DB84" w14:textId="77777777" w:rsidR="00026C75" w:rsidRPr="00026C75" w:rsidRDefault="00026C75" w:rsidP="00026C75">
      <w:pPr>
        <w:pStyle w:val="ListParagraph"/>
        <w:rPr>
          <w:rFonts w:ascii="Times New Roman" w:hAnsi="Times New Roman" w:cs="Times New Roman"/>
          <w:noProof/>
          <w:sz w:val="24"/>
          <w:szCs w:val="24"/>
        </w:rPr>
      </w:pPr>
    </w:p>
    <w:p w14:paraId="5B0DE14A" w14:textId="77777777" w:rsidR="00026C75" w:rsidRDefault="00026C75" w:rsidP="00206BFF">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Dolcos, F., Hohl, K., Hu, Y., &amp; Dolcos, S. (2021). Religiosity and Resilience : Cognitive Reappraisal and </w:t>
      </w:r>
      <w:r w:rsidRPr="00026C75">
        <w:rPr>
          <w:rFonts w:ascii="Times New Roman" w:hAnsi="Times New Roman" w:cs="Times New Roman"/>
          <w:noProof/>
          <w:sz w:val="24"/>
          <w:szCs w:val="24"/>
        </w:rPr>
        <w:lastRenderedPageBreak/>
        <w:t xml:space="preserve">Coping Self ‑ Efficacy Mediate the Link between Religious Coping and Well ‑ Being. </w:t>
      </w:r>
      <w:r w:rsidRPr="00026C75">
        <w:rPr>
          <w:rFonts w:ascii="Times New Roman" w:hAnsi="Times New Roman" w:cs="Times New Roman"/>
          <w:i/>
          <w:iCs/>
          <w:noProof/>
          <w:sz w:val="24"/>
          <w:szCs w:val="24"/>
        </w:rPr>
        <w:t>Journal of Religion and Health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0123456789</w:t>
      </w:r>
      <w:r w:rsidRPr="00026C75">
        <w:rPr>
          <w:rFonts w:ascii="Times New Roman" w:hAnsi="Times New Roman" w:cs="Times New Roman"/>
          <w:noProof/>
          <w:sz w:val="24"/>
          <w:szCs w:val="24"/>
        </w:rPr>
        <w:t>. https://doi.org/10.1007/s10943-020-01160-y</w:t>
      </w:r>
    </w:p>
    <w:p w14:paraId="3E88C83F" w14:textId="77777777" w:rsidR="00026C75" w:rsidRPr="00026C75" w:rsidRDefault="00026C75" w:rsidP="00026C75">
      <w:pPr>
        <w:pStyle w:val="ListParagraph"/>
        <w:rPr>
          <w:rFonts w:ascii="Times New Roman" w:hAnsi="Times New Roman" w:cs="Times New Roman"/>
          <w:noProof/>
          <w:sz w:val="24"/>
          <w:szCs w:val="24"/>
        </w:rPr>
      </w:pPr>
    </w:p>
    <w:p w14:paraId="66C10475" w14:textId="77777777" w:rsidR="00026C75" w:rsidRDefault="00026C75" w:rsidP="005A66A3">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Ellen, M. J. Z., Riley, A. S., Katherine, A. S., Tanya, M. R., Gardner, A. A., &amp; Duffy, A. L. (2023). </w:t>
      </w:r>
      <w:r w:rsidRPr="00026C75">
        <w:rPr>
          <w:rFonts w:ascii="Times New Roman" w:hAnsi="Times New Roman" w:cs="Times New Roman"/>
          <w:i/>
          <w:iCs/>
          <w:noProof/>
          <w:sz w:val="24"/>
          <w:szCs w:val="24"/>
        </w:rPr>
        <w:t>Parental Support and Adolescents ’ Coping with Academic Stressors : A Longitudinal Study of Parents ’ In fl uence Beyond Academic Pressure and Achievement</w:t>
      </w:r>
      <w:r w:rsidRPr="00026C75">
        <w:rPr>
          <w:rFonts w:ascii="Times New Roman" w:hAnsi="Times New Roman" w:cs="Times New Roman"/>
          <w:noProof/>
          <w:sz w:val="24"/>
          <w:szCs w:val="24"/>
        </w:rPr>
        <w:t>. 2464–2479. https://doi.org/10.1007/s10964-023-01864-w</w:t>
      </w:r>
    </w:p>
    <w:p w14:paraId="15D4EE53" w14:textId="77777777" w:rsidR="00026C75" w:rsidRPr="00026C75" w:rsidRDefault="00026C75" w:rsidP="00026C75">
      <w:pPr>
        <w:pStyle w:val="ListParagraph"/>
        <w:rPr>
          <w:rFonts w:ascii="Times New Roman" w:hAnsi="Times New Roman" w:cs="Times New Roman"/>
          <w:noProof/>
          <w:sz w:val="24"/>
          <w:szCs w:val="24"/>
        </w:rPr>
      </w:pPr>
    </w:p>
    <w:p w14:paraId="5D54E489" w14:textId="77777777" w:rsidR="00026C75" w:rsidRDefault="00026C75" w:rsidP="00C21F77">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Espulgar, K. D., Faeldan, Z. J., Ferre, C. J., Frago, J. A., Galanao, A. F., Narvaez, R. A., Macaraeg, E., Antonio, R., Gause, G., Sehularo, L. A., Matsipane, M. J., Ghattas, A. H. S., &amp; El-Ashry, A. M. (2024). Coping strategies used by undergraduate first-year nursing students during transition from basic to higher education: a qualitative study. </w:t>
      </w:r>
      <w:r w:rsidRPr="00026C75">
        <w:rPr>
          <w:rFonts w:ascii="Times New Roman" w:hAnsi="Times New Roman" w:cs="Times New Roman"/>
          <w:i/>
          <w:iCs/>
          <w:noProof/>
          <w:sz w:val="24"/>
          <w:szCs w:val="24"/>
        </w:rPr>
        <w:t>BMC Nursing</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23</w:t>
      </w:r>
      <w:r w:rsidRPr="00026C75">
        <w:rPr>
          <w:rFonts w:ascii="Times New Roman" w:hAnsi="Times New Roman" w:cs="Times New Roman"/>
          <w:noProof/>
          <w:sz w:val="24"/>
          <w:szCs w:val="24"/>
        </w:rPr>
        <w:t>(1), 64–72. https://doi.org/10.31586/wjnr.2024.1072</w:t>
      </w:r>
    </w:p>
    <w:p w14:paraId="1CD04C34" w14:textId="77777777" w:rsidR="00026C75" w:rsidRPr="00026C75" w:rsidRDefault="00026C75" w:rsidP="00026C75">
      <w:pPr>
        <w:pStyle w:val="ListParagraph"/>
        <w:rPr>
          <w:rFonts w:ascii="Times New Roman" w:hAnsi="Times New Roman" w:cs="Times New Roman"/>
          <w:noProof/>
          <w:sz w:val="24"/>
          <w:szCs w:val="24"/>
        </w:rPr>
      </w:pPr>
    </w:p>
    <w:p w14:paraId="7E4D861D" w14:textId="77777777" w:rsidR="00026C75" w:rsidRDefault="00026C75" w:rsidP="00CA20F4">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Ghattas, A. H. S., &amp; El-Ashry, A. M. (2024). Perceived academic anxiety and procrastination among emergency nursing students: the mediating role of cognitive emotion regulation. </w:t>
      </w:r>
      <w:r w:rsidRPr="00026C75">
        <w:rPr>
          <w:rFonts w:ascii="Times New Roman" w:hAnsi="Times New Roman" w:cs="Times New Roman"/>
          <w:i/>
          <w:iCs/>
          <w:noProof/>
          <w:sz w:val="24"/>
          <w:szCs w:val="24"/>
        </w:rPr>
        <w:t>BMC Nursing</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23</w:t>
      </w:r>
      <w:r w:rsidRPr="00026C75">
        <w:rPr>
          <w:rFonts w:ascii="Times New Roman" w:hAnsi="Times New Roman" w:cs="Times New Roman"/>
          <w:noProof/>
          <w:sz w:val="24"/>
          <w:szCs w:val="24"/>
        </w:rPr>
        <w:t>(1). https://doi.org/10.1186/s12912-024-02302-3</w:t>
      </w:r>
    </w:p>
    <w:p w14:paraId="7F1F12CC" w14:textId="77777777" w:rsidR="00026C75" w:rsidRPr="00026C75" w:rsidRDefault="00026C75" w:rsidP="00026C75">
      <w:pPr>
        <w:pStyle w:val="ListParagraph"/>
        <w:rPr>
          <w:rFonts w:ascii="Times New Roman" w:hAnsi="Times New Roman" w:cs="Times New Roman"/>
          <w:noProof/>
          <w:sz w:val="24"/>
          <w:szCs w:val="24"/>
        </w:rPr>
      </w:pPr>
    </w:p>
    <w:p w14:paraId="4A9B7992" w14:textId="77777777" w:rsidR="00026C75" w:rsidRDefault="00026C75" w:rsidP="00765FB4">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Graves, B. S., Hall, M. E., Dias-Karch, C., Haischer, M. H., &amp; Apter, C. (2021). Gender differences in perceived stress and coping among college students. </w:t>
      </w:r>
      <w:r w:rsidRPr="00026C75">
        <w:rPr>
          <w:rFonts w:ascii="Times New Roman" w:hAnsi="Times New Roman" w:cs="Times New Roman"/>
          <w:i/>
          <w:iCs/>
          <w:noProof/>
          <w:sz w:val="24"/>
          <w:szCs w:val="24"/>
        </w:rPr>
        <w:t>PLoS ONE</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16</w:t>
      </w:r>
      <w:r w:rsidRPr="00026C75">
        <w:rPr>
          <w:rFonts w:ascii="Times New Roman" w:hAnsi="Times New Roman" w:cs="Times New Roman"/>
          <w:noProof/>
          <w:sz w:val="24"/>
          <w:szCs w:val="24"/>
        </w:rPr>
        <w:t>(8 August), 1–12. https://doi.org/10.1371/journal.pone.0255634</w:t>
      </w:r>
    </w:p>
    <w:p w14:paraId="4993B499" w14:textId="77777777" w:rsidR="00026C75" w:rsidRPr="00026C75" w:rsidRDefault="00026C75" w:rsidP="00026C75">
      <w:pPr>
        <w:pStyle w:val="ListParagraph"/>
        <w:rPr>
          <w:rFonts w:ascii="Times New Roman" w:hAnsi="Times New Roman" w:cs="Times New Roman"/>
          <w:noProof/>
          <w:sz w:val="24"/>
          <w:szCs w:val="24"/>
        </w:rPr>
      </w:pPr>
    </w:p>
    <w:p w14:paraId="0890C39A" w14:textId="77777777" w:rsidR="00026C75" w:rsidRDefault="00026C75" w:rsidP="000518F9">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Gross, J. J., &amp; Gross, J. J. (2015). </w:t>
      </w:r>
      <w:r w:rsidRPr="00026C75">
        <w:rPr>
          <w:rFonts w:ascii="Times New Roman" w:hAnsi="Times New Roman" w:cs="Times New Roman"/>
          <w:i/>
          <w:iCs/>
          <w:noProof/>
          <w:sz w:val="24"/>
          <w:szCs w:val="24"/>
        </w:rPr>
        <w:t>Psychological Inquiry : An International Journal for the Advancement of Psychological Theory Emotion Regulation : Current Status and Future Prospects Emotion Regulation : Current Status and Future Prospects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April</w:t>
      </w:r>
      <w:r w:rsidRPr="00026C75">
        <w:rPr>
          <w:rFonts w:ascii="Times New Roman" w:hAnsi="Times New Roman" w:cs="Times New Roman"/>
          <w:noProof/>
          <w:sz w:val="24"/>
          <w:szCs w:val="24"/>
        </w:rPr>
        <w:t>, 37–41. https://doi.org/10.1080/1047840X.2014.940781</w:t>
      </w:r>
    </w:p>
    <w:p w14:paraId="34ACA2EB" w14:textId="77777777" w:rsidR="00026C75" w:rsidRPr="00026C75" w:rsidRDefault="00026C75" w:rsidP="00026C75">
      <w:pPr>
        <w:pStyle w:val="ListParagraph"/>
        <w:rPr>
          <w:rFonts w:ascii="Times New Roman" w:hAnsi="Times New Roman" w:cs="Times New Roman"/>
          <w:noProof/>
          <w:sz w:val="24"/>
          <w:szCs w:val="24"/>
        </w:rPr>
      </w:pPr>
    </w:p>
    <w:p w14:paraId="36098EBA" w14:textId="77777777" w:rsidR="00026C75" w:rsidRDefault="00026C75" w:rsidP="009A65E5">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Han, F., Duan, R., Huang, B., &amp; Wang, Q. (2023). </w:t>
      </w:r>
      <w:r w:rsidRPr="00026C75">
        <w:rPr>
          <w:rFonts w:ascii="Times New Roman" w:hAnsi="Times New Roman" w:cs="Times New Roman"/>
          <w:i/>
          <w:iCs/>
          <w:noProof/>
          <w:sz w:val="24"/>
          <w:szCs w:val="24"/>
        </w:rPr>
        <w:t>Psychological resilience and cognitive reappraisal mediate the effects of coping style on the mental health of children</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April</w:t>
      </w:r>
      <w:r w:rsidRPr="00026C75">
        <w:rPr>
          <w:rFonts w:ascii="Times New Roman" w:hAnsi="Times New Roman" w:cs="Times New Roman"/>
          <w:noProof/>
          <w:sz w:val="24"/>
          <w:szCs w:val="24"/>
        </w:rPr>
        <w:t>, 1–10. https://doi.org/10.3389/fpsyg.2023.1110642</w:t>
      </w:r>
    </w:p>
    <w:p w14:paraId="27B55136" w14:textId="77777777" w:rsidR="00026C75" w:rsidRPr="00026C75" w:rsidRDefault="00026C75" w:rsidP="00026C75">
      <w:pPr>
        <w:pStyle w:val="ListParagraph"/>
        <w:rPr>
          <w:rFonts w:ascii="Times New Roman" w:hAnsi="Times New Roman" w:cs="Times New Roman"/>
          <w:noProof/>
          <w:sz w:val="24"/>
          <w:szCs w:val="24"/>
        </w:rPr>
      </w:pPr>
    </w:p>
    <w:p w14:paraId="3295230B" w14:textId="77777777" w:rsidR="00026C75" w:rsidRDefault="00026C75" w:rsidP="007F6341">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Kumari, R. (2025). </w:t>
      </w:r>
      <w:r w:rsidRPr="00026C75">
        <w:rPr>
          <w:rFonts w:ascii="Times New Roman" w:hAnsi="Times New Roman" w:cs="Times New Roman"/>
          <w:i/>
          <w:iCs/>
          <w:noProof/>
          <w:sz w:val="24"/>
          <w:szCs w:val="24"/>
        </w:rPr>
        <w:t>Exploring the Impact of Family Environment and Psychological Well-being on Academic Achievement</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10</w:t>
      </w:r>
      <w:r w:rsidRPr="00026C75">
        <w:rPr>
          <w:rFonts w:ascii="Times New Roman" w:hAnsi="Times New Roman" w:cs="Times New Roman"/>
          <w:noProof/>
          <w:sz w:val="24"/>
          <w:szCs w:val="24"/>
        </w:rPr>
        <w:t>(4).</w:t>
      </w:r>
    </w:p>
    <w:p w14:paraId="1E6E247B" w14:textId="77777777" w:rsidR="00026C75" w:rsidRPr="00026C75" w:rsidRDefault="00026C75" w:rsidP="00026C75">
      <w:pPr>
        <w:pStyle w:val="ListParagraph"/>
        <w:rPr>
          <w:rFonts w:ascii="Times New Roman" w:hAnsi="Times New Roman" w:cs="Times New Roman"/>
          <w:noProof/>
          <w:sz w:val="24"/>
          <w:szCs w:val="24"/>
        </w:rPr>
      </w:pPr>
    </w:p>
    <w:p w14:paraId="5C6EB359" w14:textId="77777777" w:rsidR="00026C75" w:rsidRDefault="00026C75" w:rsidP="00FF1D77">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Labrague, L. J. (2021). Nurse Education in Practice Resilience as a mediator in the relationship between stress-associated with the Covid-19 pandemic , life satisfaction , and psychological well-being in student nurses : A cross-sectional study. </w:t>
      </w:r>
      <w:r w:rsidRPr="00026C75">
        <w:rPr>
          <w:rFonts w:ascii="Times New Roman" w:hAnsi="Times New Roman" w:cs="Times New Roman"/>
          <w:i/>
          <w:iCs/>
          <w:noProof/>
          <w:sz w:val="24"/>
          <w:szCs w:val="24"/>
        </w:rPr>
        <w:t>Nurse Education in Practice</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56</w:t>
      </w:r>
      <w:r w:rsidRPr="00026C75">
        <w:rPr>
          <w:rFonts w:ascii="Times New Roman" w:hAnsi="Times New Roman" w:cs="Times New Roman"/>
          <w:noProof/>
          <w:sz w:val="24"/>
          <w:szCs w:val="24"/>
        </w:rPr>
        <w:t>(August), 103182. https://doi.org/10.1016/j.nepr.2021.103182</w:t>
      </w:r>
    </w:p>
    <w:p w14:paraId="1DE3497C" w14:textId="77777777" w:rsidR="00026C75" w:rsidRPr="00026C75" w:rsidRDefault="00026C75" w:rsidP="00026C75">
      <w:pPr>
        <w:pStyle w:val="ListParagraph"/>
        <w:rPr>
          <w:rFonts w:ascii="Times New Roman" w:hAnsi="Times New Roman" w:cs="Times New Roman"/>
          <w:noProof/>
          <w:sz w:val="24"/>
          <w:szCs w:val="24"/>
        </w:rPr>
      </w:pPr>
    </w:p>
    <w:p w14:paraId="6ECC04E3" w14:textId="77777777" w:rsidR="00026C75" w:rsidRDefault="00026C75" w:rsidP="00D968B2">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Liu, J., Yang, Y., Chen, J., Zhang, Y., Zeng, Y., &amp; Li, J. (2022). Stress and coping styles among nursing students during the initial period of the clinical practicum: A cross-section study. </w:t>
      </w:r>
      <w:r w:rsidRPr="00026C75">
        <w:rPr>
          <w:rFonts w:ascii="Times New Roman" w:hAnsi="Times New Roman" w:cs="Times New Roman"/>
          <w:i/>
          <w:iCs/>
          <w:noProof/>
          <w:sz w:val="24"/>
          <w:szCs w:val="24"/>
        </w:rPr>
        <w:t>International Journal of Nursing Sciences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9</w:t>
      </w:r>
      <w:r w:rsidRPr="00026C75">
        <w:rPr>
          <w:rFonts w:ascii="Times New Roman" w:hAnsi="Times New Roman" w:cs="Times New Roman"/>
          <w:noProof/>
          <w:sz w:val="24"/>
          <w:szCs w:val="24"/>
        </w:rPr>
        <w:t>(2), 222–229. https://doi.org/10.1016/j.ijnss.2022.02.004</w:t>
      </w:r>
    </w:p>
    <w:p w14:paraId="23E4723A" w14:textId="77777777" w:rsidR="00026C75" w:rsidRPr="00026C75" w:rsidRDefault="00026C75" w:rsidP="00026C75">
      <w:pPr>
        <w:pStyle w:val="ListParagraph"/>
        <w:rPr>
          <w:rFonts w:ascii="Times New Roman" w:hAnsi="Times New Roman" w:cs="Times New Roman"/>
          <w:noProof/>
          <w:sz w:val="24"/>
          <w:szCs w:val="24"/>
        </w:rPr>
      </w:pPr>
    </w:p>
    <w:p w14:paraId="63182C4F" w14:textId="4F868F62" w:rsidR="00026C75" w:rsidRDefault="00026C75" w:rsidP="00D82B71">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Loureiro, F., Peças, D., Cristina, A., Ana, N., &amp; Antunes, V. (2024). </w:t>
      </w:r>
      <w:r w:rsidRPr="00026C75">
        <w:rPr>
          <w:rFonts w:ascii="Times New Roman" w:hAnsi="Times New Roman" w:cs="Times New Roman"/>
          <w:i/>
          <w:iCs/>
          <w:noProof/>
          <w:sz w:val="24"/>
          <w:szCs w:val="24"/>
        </w:rPr>
        <w:t>Coping strategies and social support in nursing students during clinical practice : A scoping review</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May 2023</w:t>
      </w:r>
      <w:r w:rsidRPr="00026C75">
        <w:rPr>
          <w:rFonts w:ascii="Times New Roman" w:hAnsi="Times New Roman" w:cs="Times New Roman"/>
          <w:noProof/>
          <w:sz w:val="24"/>
          <w:szCs w:val="24"/>
        </w:rPr>
        <w:t>, 1–13. https://doi.org/10.1002/nop2.2112</w:t>
      </w:r>
    </w:p>
    <w:p w14:paraId="3168B42F" w14:textId="77777777" w:rsidR="00026C75" w:rsidRPr="00026C75" w:rsidRDefault="00026C75" w:rsidP="00026C75">
      <w:pPr>
        <w:pStyle w:val="ListParagraph"/>
        <w:rPr>
          <w:rFonts w:ascii="Times New Roman" w:hAnsi="Times New Roman" w:cs="Times New Roman"/>
          <w:noProof/>
          <w:sz w:val="24"/>
          <w:szCs w:val="24"/>
        </w:rPr>
      </w:pPr>
    </w:p>
    <w:p w14:paraId="694CDF8D" w14:textId="77777777" w:rsidR="00026C75" w:rsidRDefault="00026C75" w:rsidP="007049AD">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McRae, K., &amp; Gross, J. J. (2020). Emotion regulation. </w:t>
      </w:r>
      <w:r w:rsidRPr="00026C75">
        <w:rPr>
          <w:rFonts w:ascii="Times New Roman" w:hAnsi="Times New Roman" w:cs="Times New Roman"/>
          <w:i/>
          <w:iCs/>
          <w:noProof/>
          <w:sz w:val="24"/>
          <w:szCs w:val="24"/>
        </w:rPr>
        <w:t>Emotion</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20</w:t>
      </w:r>
      <w:r w:rsidRPr="00026C75">
        <w:rPr>
          <w:rFonts w:ascii="Times New Roman" w:hAnsi="Times New Roman" w:cs="Times New Roman"/>
          <w:noProof/>
          <w:sz w:val="24"/>
          <w:szCs w:val="24"/>
        </w:rPr>
        <w:t>(1), 1–9. https://doi.org/10.1037/emo0000703</w:t>
      </w:r>
    </w:p>
    <w:p w14:paraId="45291298" w14:textId="77777777" w:rsidR="00026C75" w:rsidRPr="00026C75" w:rsidRDefault="00026C75" w:rsidP="00026C75">
      <w:pPr>
        <w:pStyle w:val="ListParagraph"/>
        <w:rPr>
          <w:rFonts w:ascii="Times New Roman" w:hAnsi="Times New Roman" w:cs="Times New Roman"/>
          <w:noProof/>
          <w:sz w:val="24"/>
          <w:szCs w:val="24"/>
        </w:rPr>
      </w:pPr>
    </w:p>
    <w:p w14:paraId="2658E4F3" w14:textId="77777777" w:rsidR="00026C75" w:rsidRDefault="00026C75" w:rsidP="00A65CFE">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Panadero, E. (2017). </w:t>
      </w:r>
      <w:r w:rsidRPr="00026C75">
        <w:rPr>
          <w:rFonts w:ascii="Times New Roman" w:hAnsi="Times New Roman" w:cs="Times New Roman"/>
          <w:i/>
          <w:iCs/>
          <w:noProof/>
          <w:sz w:val="24"/>
          <w:szCs w:val="24"/>
        </w:rPr>
        <w:t>A Review of Self-regulated Learning : Six Models and Four Directions for Research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8</w:t>
      </w:r>
      <w:r w:rsidRPr="00026C75">
        <w:rPr>
          <w:rFonts w:ascii="Times New Roman" w:hAnsi="Times New Roman" w:cs="Times New Roman"/>
          <w:noProof/>
          <w:sz w:val="24"/>
          <w:szCs w:val="24"/>
        </w:rPr>
        <w:t>(April), 1–28. https://doi.org/10.3389/fpsyg.2017.00422</w:t>
      </w:r>
    </w:p>
    <w:p w14:paraId="3B540589" w14:textId="77777777" w:rsidR="00026C75" w:rsidRPr="00026C75" w:rsidRDefault="00026C75" w:rsidP="00026C75">
      <w:pPr>
        <w:pStyle w:val="ListParagraph"/>
        <w:rPr>
          <w:rFonts w:ascii="Times New Roman" w:hAnsi="Times New Roman" w:cs="Times New Roman"/>
          <w:noProof/>
          <w:sz w:val="24"/>
          <w:szCs w:val="24"/>
        </w:rPr>
      </w:pPr>
    </w:p>
    <w:p w14:paraId="7B6311CD" w14:textId="77777777" w:rsidR="00026C75" w:rsidRDefault="00026C75" w:rsidP="00B913A4">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Parker, J., Yacoub, A., Mughal, S., &amp; Mamari, F. (2021). Family support and psychological distress among commuter college students. </w:t>
      </w:r>
      <w:r w:rsidRPr="00026C75">
        <w:rPr>
          <w:rFonts w:ascii="Times New Roman" w:hAnsi="Times New Roman" w:cs="Times New Roman"/>
          <w:i/>
          <w:iCs/>
          <w:noProof/>
          <w:sz w:val="24"/>
          <w:szCs w:val="24"/>
        </w:rPr>
        <w:t>Journal of American College Health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0</w:t>
      </w:r>
      <w:r w:rsidRPr="00026C75">
        <w:rPr>
          <w:rFonts w:ascii="Times New Roman" w:hAnsi="Times New Roman" w:cs="Times New Roman"/>
          <w:noProof/>
          <w:sz w:val="24"/>
          <w:szCs w:val="24"/>
        </w:rPr>
        <w:t>(0), 1–10. https://doi.org/10.1080/07448481.2021.1895805</w:t>
      </w:r>
    </w:p>
    <w:p w14:paraId="22AEDFC2" w14:textId="77777777" w:rsidR="00026C75" w:rsidRPr="00026C75" w:rsidRDefault="00026C75" w:rsidP="00026C75">
      <w:pPr>
        <w:pStyle w:val="ListParagraph"/>
        <w:rPr>
          <w:rFonts w:ascii="Times New Roman" w:hAnsi="Times New Roman" w:cs="Times New Roman"/>
          <w:noProof/>
          <w:sz w:val="24"/>
          <w:szCs w:val="24"/>
        </w:rPr>
      </w:pPr>
    </w:p>
    <w:p w14:paraId="7B45AB7C" w14:textId="77777777" w:rsidR="00E02149" w:rsidRDefault="00026C75" w:rsidP="004D0A3E">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Pascoe, M. C., Hetrick, S. E., Parker, A. G., Pascoe, M. C., Hetrick, S. E., The, A. G. P., &amp; Pascoe, M. C. (2020). The impact of stress on students in secondary school and higher education education. </w:t>
      </w:r>
      <w:r w:rsidRPr="00026C75">
        <w:rPr>
          <w:rFonts w:ascii="Times New Roman" w:hAnsi="Times New Roman" w:cs="Times New Roman"/>
          <w:i/>
          <w:iCs/>
          <w:noProof/>
          <w:sz w:val="24"/>
          <w:szCs w:val="24"/>
        </w:rPr>
        <w:t>International Journal of Adolescence and Youth</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25</w:t>
      </w:r>
      <w:r w:rsidRPr="00026C75">
        <w:rPr>
          <w:rFonts w:ascii="Times New Roman" w:hAnsi="Times New Roman" w:cs="Times New Roman"/>
          <w:noProof/>
          <w:sz w:val="24"/>
          <w:szCs w:val="24"/>
        </w:rPr>
        <w:t>(1), 104–112. https://doi.org/10.1080/02673843.2019.1596823</w:t>
      </w:r>
    </w:p>
    <w:p w14:paraId="3AD0A69D" w14:textId="77777777" w:rsidR="00E02149" w:rsidRPr="00E02149" w:rsidRDefault="00E02149" w:rsidP="00E02149">
      <w:pPr>
        <w:pStyle w:val="ListParagraph"/>
        <w:rPr>
          <w:rFonts w:ascii="Times New Roman" w:hAnsi="Times New Roman" w:cs="Times New Roman"/>
          <w:noProof/>
          <w:sz w:val="24"/>
          <w:szCs w:val="24"/>
        </w:rPr>
      </w:pPr>
    </w:p>
    <w:p w14:paraId="4284F392" w14:textId="314D3DB9" w:rsidR="00026C75" w:rsidRDefault="00E02149" w:rsidP="004D0A3E">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E02149">
        <w:rPr>
          <w:rFonts w:ascii="Times New Roman" w:hAnsi="Times New Roman" w:cs="Times New Roman"/>
          <w:noProof/>
          <w:sz w:val="24"/>
          <w:szCs w:val="24"/>
        </w:rPr>
        <w:t>Remler, D. K., &amp; Van Ryzin, G. G. (2021). Research methods in practice: Strategies for description and causation. Sage Publications.</w:t>
      </w:r>
    </w:p>
    <w:p w14:paraId="0180F718" w14:textId="77777777" w:rsidR="00026C75" w:rsidRPr="00026C75" w:rsidRDefault="00026C75" w:rsidP="00026C75">
      <w:pPr>
        <w:pStyle w:val="ListParagraph"/>
        <w:rPr>
          <w:rFonts w:ascii="Times New Roman" w:hAnsi="Times New Roman" w:cs="Times New Roman"/>
          <w:noProof/>
          <w:sz w:val="24"/>
          <w:szCs w:val="24"/>
        </w:rPr>
      </w:pPr>
    </w:p>
    <w:p w14:paraId="3DC41FA7" w14:textId="77777777" w:rsidR="00026C75" w:rsidRDefault="00026C75" w:rsidP="00D87D67">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Rilveria, J. R. C. (2018). The development of the Filipino coping strategies scale. </w:t>
      </w:r>
      <w:r w:rsidRPr="00026C75">
        <w:rPr>
          <w:rFonts w:ascii="Times New Roman" w:hAnsi="Times New Roman" w:cs="Times New Roman"/>
          <w:i/>
          <w:iCs/>
          <w:noProof/>
          <w:sz w:val="24"/>
          <w:szCs w:val="24"/>
        </w:rPr>
        <w:t>Asia-Pacific Social Science Review</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18</w:t>
      </w:r>
      <w:r w:rsidRPr="00026C75">
        <w:rPr>
          <w:rFonts w:ascii="Times New Roman" w:hAnsi="Times New Roman" w:cs="Times New Roman"/>
          <w:noProof/>
          <w:sz w:val="24"/>
          <w:szCs w:val="24"/>
        </w:rPr>
        <w:t>(1), 111–126. https://doi.org/10.59588/2350-8329.1151</w:t>
      </w:r>
    </w:p>
    <w:p w14:paraId="27FF2A8D" w14:textId="77777777" w:rsidR="00026C75" w:rsidRPr="00026C75" w:rsidRDefault="00026C75" w:rsidP="00026C75">
      <w:pPr>
        <w:pStyle w:val="ListParagraph"/>
        <w:rPr>
          <w:rFonts w:ascii="Times New Roman" w:hAnsi="Times New Roman" w:cs="Times New Roman"/>
          <w:noProof/>
          <w:sz w:val="24"/>
          <w:szCs w:val="24"/>
        </w:rPr>
      </w:pPr>
    </w:p>
    <w:p w14:paraId="567BFE56" w14:textId="77777777" w:rsidR="00026C75" w:rsidRDefault="00026C75" w:rsidP="00AB26C1">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Romano, I., Patte, K. A., Groh, M. De, Jiang, Y., Wade, T. J., Richard, E. B., &amp; Leatherdale, S. T. (2021). </w:t>
      </w:r>
      <w:r w:rsidRPr="00026C75">
        <w:rPr>
          <w:rFonts w:ascii="Times New Roman" w:hAnsi="Times New Roman" w:cs="Times New Roman"/>
          <w:i/>
          <w:iCs/>
          <w:noProof/>
          <w:sz w:val="24"/>
          <w:szCs w:val="24"/>
        </w:rPr>
        <w:t>Addictive Behaviors Reports Substance-related coping behaviours among youth during the early months of the COVID-19 pandemic</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14</w:t>
      </w:r>
      <w:r w:rsidRPr="00026C75">
        <w:rPr>
          <w:rFonts w:ascii="Times New Roman" w:hAnsi="Times New Roman" w:cs="Times New Roman"/>
          <w:noProof/>
          <w:sz w:val="24"/>
          <w:szCs w:val="24"/>
        </w:rPr>
        <w:t>(November). https://doi.org/10.1016/j.abrep.2021.100392</w:t>
      </w:r>
    </w:p>
    <w:p w14:paraId="6DD918BC" w14:textId="77777777" w:rsidR="00026C75" w:rsidRPr="00026C75" w:rsidRDefault="00026C75" w:rsidP="00026C75">
      <w:pPr>
        <w:pStyle w:val="ListParagraph"/>
        <w:rPr>
          <w:rFonts w:ascii="Times New Roman" w:hAnsi="Times New Roman" w:cs="Times New Roman"/>
          <w:noProof/>
          <w:sz w:val="24"/>
          <w:szCs w:val="24"/>
        </w:rPr>
      </w:pPr>
    </w:p>
    <w:p w14:paraId="4886EF01" w14:textId="77777777" w:rsidR="00026C75" w:rsidRDefault="00026C75" w:rsidP="002E2726">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Savitsky, B., Findling, Y., Ereli, A., &amp; Hendel, T. (2020). Nurse Education in Practice Anxiety and coping strategies among nursing students during the covid-19 pandemic. </w:t>
      </w:r>
      <w:r w:rsidRPr="00026C75">
        <w:rPr>
          <w:rFonts w:ascii="Times New Roman" w:hAnsi="Times New Roman" w:cs="Times New Roman"/>
          <w:i/>
          <w:iCs/>
          <w:noProof/>
          <w:sz w:val="24"/>
          <w:szCs w:val="24"/>
        </w:rPr>
        <w:t>Nurse Education in Practice</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46</w:t>
      </w:r>
      <w:r w:rsidRPr="00026C75">
        <w:rPr>
          <w:rFonts w:ascii="Times New Roman" w:hAnsi="Times New Roman" w:cs="Times New Roman"/>
          <w:noProof/>
          <w:sz w:val="24"/>
          <w:szCs w:val="24"/>
        </w:rPr>
        <w:t>(April), 102809. https://doi.org/10.1016/j.nepr.2020.102809</w:t>
      </w:r>
    </w:p>
    <w:p w14:paraId="7B8BCDE1" w14:textId="77777777" w:rsidR="00026C75" w:rsidRPr="00026C75" w:rsidRDefault="00026C75" w:rsidP="00026C75">
      <w:pPr>
        <w:pStyle w:val="ListParagraph"/>
        <w:rPr>
          <w:rFonts w:ascii="Times New Roman" w:hAnsi="Times New Roman" w:cs="Times New Roman"/>
          <w:noProof/>
          <w:sz w:val="24"/>
          <w:szCs w:val="24"/>
        </w:rPr>
      </w:pPr>
    </w:p>
    <w:p w14:paraId="7F0024C0" w14:textId="77777777" w:rsidR="00026C75" w:rsidRDefault="00026C75" w:rsidP="00936E20">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Shengyao, Y., Jenatabadi, H. S., Mengshi, Y., Minqin, C., Xuefen, L., &amp; Mustafa, Z. (2024). Academic resilience , self ‑ efficacy , and motivation : the role of parenting style. </w:t>
      </w:r>
      <w:r w:rsidRPr="00026C75">
        <w:rPr>
          <w:rFonts w:ascii="Times New Roman" w:hAnsi="Times New Roman" w:cs="Times New Roman"/>
          <w:i/>
          <w:iCs/>
          <w:noProof/>
          <w:sz w:val="24"/>
          <w:szCs w:val="24"/>
        </w:rPr>
        <w:t>Scientific Reports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0123456789</w:t>
      </w:r>
      <w:r w:rsidRPr="00026C75">
        <w:rPr>
          <w:rFonts w:ascii="Times New Roman" w:hAnsi="Times New Roman" w:cs="Times New Roman"/>
          <w:noProof/>
          <w:sz w:val="24"/>
          <w:szCs w:val="24"/>
        </w:rPr>
        <w:t>, 1–14. https://doi.org/10.1038/s41598-024-55530-7</w:t>
      </w:r>
    </w:p>
    <w:p w14:paraId="438EDFCC" w14:textId="77777777" w:rsidR="00026C75" w:rsidRPr="00026C75" w:rsidRDefault="00026C75" w:rsidP="00026C75">
      <w:pPr>
        <w:pStyle w:val="ListParagraph"/>
        <w:rPr>
          <w:rFonts w:ascii="Times New Roman" w:hAnsi="Times New Roman" w:cs="Times New Roman"/>
          <w:noProof/>
          <w:sz w:val="24"/>
          <w:szCs w:val="24"/>
        </w:rPr>
      </w:pPr>
    </w:p>
    <w:p w14:paraId="4E59F44F" w14:textId="77777777" w:rsidR="00026C75" w:rsidRDefault="00026C75" w:rsidP="00F82A18">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Singh, S., Mani, N., Datta, M., &amp; Batra, S. (2021). </w:t>
      </w:r>
      <w:r w:rsidRPr="00026C75">
        <w:rPr>
          <w:rFonts w:ascii="Times New Roman" w:hAnsi="Times New Roman" w:cs="Times New Roman"/>
          <w:i/>
          <w:iCs/>
          <w:noProof/>
          <w:sz w:val="24"/>
          <w:szCs w:val="24"/>
        </w:rPr>
        <w:t>Stress , internet use , substance use and coping among adolescents , young-adults and middle-age adults amid the ‘ new normal ’ pandemic era</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12</w:t>
      </w:r>
      <w:r w:rsidRPr="00026C75">
        <w:rPr>
          <w:rFonts w:ascii="Times New Roman" w:hAnsi="Times New Roman" w:cs="Times New Roman"/>
          <w:noProof/>
          <w:sz w:val="24"/>
          <w:szCs w:val="24"/>
        </w:rPr>
        <w:t>(May).</w:t>
      </w:r>
    </w:p>
    <w:p w14:paraId="6BFE4C98" w14:textId="77777777" w:rsidR="00026C75" w:rsidRPr="00026C75" w:rsidRDefault="00026C75" w:rsidP="00026C75">
      <w:pPr>
        <w:pStyle w:val="ListParagraph"/>
        <w:rPr>
          <w:rFonts w:ascii="Times New Roman" w:hAnsi="Times New Roman" w:cs="Times New Roman"/>
          <w:noProof/>
          <w:sz w:val="24"/>
          <w:szCs w:val="24"/>
        </w:rPr>
      </w:pPr>
    </w:p>
    <w:p w14:paraId="743C18B9" w14:textId="77777777" w:rsidR="00026C75" w:rsidRDefault="00026C75" w:rsidP="0008594C">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Surzykiewicz, J., &amp; Skalski, S. B. (2022). </w:t>
      </w:r>
      <w:r w:rsidRPr="00026C75">
        <w:rPr>
          <w:rFonts w:ascii="Times New Roman" w:hAnsi="Times New Roman" w:cs="Times New Roman"/>
          <w:i/>
          <w:iCs/>
          <w:noProof/>
          <w:sz w:val="24"/>
          <w:szCs w:val="24"/>
        </w:rPr>
        <w:t>Exploring the mediating effects of negative and positive religious coping between resilience and mental well-being</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October</w:t>
      </w:r>
      <w:r w:rsidRPr="00026C75">
        <w:rPr>
          <w:rFonts w:ascii="Times New Roman" w:hAnsi="Times New Roman" w:cs="Times New Roman"/>
          <w:noProof/>
          <w:sz w:val="24"/>
          <w:szCs w:val="24"/>
        </w:rPr>
        <w:t>. https://doi.org/10.3389/fnbeh.2022.954382</w:t>
      </w:r>
    </w:p>
    <w:p w14:paraId="408D7528" w14:textId="77777777" w:rsidR="00026C75" w:rsidRPr="00026C75" w:rsidRDefault="00026C75" w:rsidP="00026C75">
      <w:pPr>
        <w:pStyle w:val="ListParagraph"/>
        <w:rPr>
          <w:rFonts w:ascii="Times New Roman" w:hAnsi="Times New Roman" w:cs="Times New Roman"/>
          <w:noProof/>
          <w:sz w:val="24"/>
          <w:szCs w:val="24"/>
        </w:rPr>
      </w:pPr>
    </w:p>
    <w:p w14:paraId="5CAD4187" w14:textId="77777777" w:rsidR="00026C75" w:rsidRDefault="00026C75" w:rsidP="00651712">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Taguchi, N. (2018). Description and explanation of pragmatic development: Quantitative, qualitative, and mixed methods research. </w:t>
      </w:r>
      <w:r w:rsidRPr="00026C75">
        <w:rPr>
          <w:rFonts w:ascii="Times New Roman" w:hAnsi="Times New Roman" w:cs="Times New Roman"/>
          <w:i/>
          <w:iCs/>
          <w:noProof/>
          <w:sz w:val="24"/>
          <w:szCs w:val="24"/>
        </w:rPr>
        <w:t>System</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75</w:t>
      </w:r>
      <w:r w:rsidRPr="00026C75">
        <w:rPr>
          <w:rFonts w:ascii="Times New Roman" w:hAnsi="Times New Roman" w:cs="Times New Roman"/>
          <w:noProof/>
          <w:sz w:val="24"/>
          <w:szCs w:val="24"/>
        </w:rPr>
        <w:t>, 23–32. https://doi.org/10.1016/j.system.2018.03.010</w:t>
      </w:r>
    </w:p>
    <w:p w14:paraId="7DB7C642" w14:textId="77777777" w:rsidR="00026C75" w:rsidRPr="00026C75" w:rsidRDefault="00026C75" w:rsidP="00026C75">
      <w:pPr>
        <w:pStyle w:val="ListParagraph"/>
        <w:rPr>
          <w:rFonts w:ascii="Times New Roman" w:hAnsi="Times New Roman" w:cs="Times New Roman"/>
          <w:noProof/>
          <w:sz w:val="24"/>
          <w:szCs w:val="24"/>
        </w:rPr>
      </w:pPr>
    </w:p>
    <w:p w14:paraId="3DCF9ECA" w14:textId="77777777" w:rsidR="00026C75" w:rsidRDefault="00026C75" w:rsidP="00E549B1">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Teixeira, R. J., Brandão, T., &amp; Dores, A. R. (2022). Academic stress, coping, emotion regulation, affect and psychosomatic symptoms in higher education. </w:t>
      </w:r>
      <w:r w:rsidRPr="00026C75">
        <w:rPr>
          <w:rFonts w:ascii="Times New Roman" w:hAnsi="Times New Roman" w:cs="Times New Roman"/>
          <w:i/>
          <w:iCs/>
          <w:noProof/>
          <w:sz w:val="24"/>
          <w:szCs w:val="24"/>
        </w:rPr>
        <w:t>Current Psychology</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41</w:t>
      </w:r>
      <w:r w:rsidRPr="00026C75">
        <w:rPr>
          <w:rFonts w:ascii="Times New Roman" w:hAnsi="Times New Roman" w:cs="Times New Roman"/>
          <w:noProof/>
          <w:sz w:val="24"/>
          <w:szCs w:val="24"/>
        </w:rPr>
        <w:t>(11), 7618–7627. https://doi.org/10.1007/s12144-020-01304-z</w:t>
      </w:r>
    </w:p>
    <w:p w14:paraId="610B89A4" w14:textId="77777777" w:rsidR="00026C75" w:rsidRPr="00026C75" w:rsidRDefault="00026C75" w:rsidP="00026C75">
      <w:pPr>
        <w:pStyle w:val="ListParagraph"/>
        <w:rPr>
          <w:rFonts w:ascii="Times New Roman" w:hAnsi="Times New Roman" w:cs="Times New Roman"/>
          <w:noProof/>
          <w:sz w:val="24"/>
          <w:szCs w:val="24"/>
        </w:rPr>
      </w:pPr>
    </w:p>
    <w:p w14:paraId="537568A0" w14:textId="77777777" w:rsidR="00026C75" w:rsidRDefault="00026C75" w:rsidP="00D84FBC">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Tsai, L. H., See, L. C., Fan, J. Y., Tsai, C. C., Chen, C. M., &amp; Peng, W. S. (2024). Trajectory of change in perceived stress, coping strategies and clinical competence among undergraduate nursing students during </w:t>
      </w:r>
      <w:r w:rsidRPr="00026C75">
        <w:rPr>
          <w:rFonts w:ascii="Times New Roman" w:hAnsi="Times New Roman" w:cs="Times New Roman"/>
          <w:noProof/>
          <w:sz w:val="24"/>
          <w:szCs w:val="24"/>
        </w:rPr>
        <w:lastRenderedPageBreak/>
        <w:t xml:space="preserve">clinical practicum: a longitudinal cohort study. </w:t>
      </w:r>
      <w:r w:rsidRPr="00026C75">
        <w:rPr>
          <w:rFonts w:ascii="Times New Roman" w:hAnsi="Times New Roman" w:cs="Times New Roman"/>
          <w:i/>
          <w:iCs/>
          <w:noProof/>
          <w:sz w:val="24"/>
          <w:szCs w:val="24"/>
        </w:rPr>
        <w:t>BMC Medical Education</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24</w:t>
      </w:r>
      <w:r w:rsidRPr="00026C75">
        <w:rPr>
          <w:rFonts w:ascii="Times New Roman" w:hAnsi="Times New Roman" w:cs="Times New Roman"/>
          <w:noProof/>
          <w:sz w:val="24"/>
          <w:szCs w:val="24"/>
        </w:rPr>
        <w:t>(1), 1–11. https://doi.org/10.1186/s12909-024-05332-2</w:t>
      </w:r>
    </w:p>
    <w:p w14:paraId="5A3B9CF0" w14:textId="77777777" w:rsidR="00026C75" w:rsidRPr="00026C75" w:rsidRDefault="00026C75" w:rsidP="00026C75">
      <w:pPr>
        <w:pStyle w:val="ListParagraph"/>
        <w:rPr>
          <w:rFonts w:ascii="Times New Roman" w:hAnsi="Times New Roman" w:cs="Times New Roman"/>
          <w:noProof/>
          <w:sz w:val="24"/>
          <w:szCs w:val="24"/>
        </w:rPr>
      </w:pPr>
    </w:p>
    <w:p w14:paraId="3465401B" w14:textId="77777777" w:rsidR="00026C75" w:rsidRDefault="00026C75" w:rsidP="00A36EE3">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Tung, C., &amp; Rong, J. (2022). </w:t>
      </w:r>
      <w:r w:rsidRPr="00026C75">
        <w:rPr>
          <w:rFonts w:ascii="Times New Roman" w:hAnsi="Times New Roman" w:cs="Times New Roman"/>
          <w:i/>
          <w:iCs/>
          <w:noProof/>
          <w:sz w:val="24"/>
          <w:szCs w:val="24"/>
        </w:rPr>
        <w:t>Exploring the Mediating Effect of Emotional Intelligence on Perceived Stress and Interpersonal Relationships Among Nursing Students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7</w:t>
      </w:r>
      <w:r w:rsidRPr="00026C75">
        <w:rPr>
          <w:rFonts w:ascii="Times New Roman" w:hAnsi="Times New Roman" w:cs="Times New Roman"/>
          <w:noProof/>
          <w:sz w:val="24"/>
          <w:szCs w:val="24"/>
        </w:rPr>
        <w:t>(2), 1–10. https://doi.org/10.20849/ijsn.v7i2.1079</w:t>
      </w:r>
    </w:p>
    <w:p w14:paraId="2B590C2C" w14:textId="77777777" w:rsidR="00026C75" w:rsidRPr="00026C75" w:rsidRDefault="00026C75" w:rsidP="00026C75">
      <w:pPr>
        <w:pStyle w:val="ListParagraph"/>
        <w:rPr>
          <w:rFonts w:ascii="Times New Roman" w:hAnsi="Times New Roman" w:cs="Times New Roman"/>
          <w:noProof/>
          <w:sz w:val="24"/>
          <w:szCs w:val="24"/>
        </w:rPr>
      </w:pPr>
    </w:p>
    <w:p w14:paraId="3E0DCAF8" w14:textId="77777777" w:rsidR="00026C75" w:rsidRDefault="00026C75" w:rsidP="003377B5">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Wackerhagen, C., Reppmann, Z. C., &amp; Walter, H. (2022). </w:t>
      </w:r>
      <w:r w:rsidRPr="00026C75">
        <w:rPr>
          <w:rFonts w:ascii="Times New Roman" w:hAnsi="Times New Roman" w:cs="Times New Roman"/>
          <w:i/>
          <w:iCs/>
          <w:noProof/>
          <w:sz w:val="24"/>
          <w:szCs w:val="24"/>
        </w:rPr>
        <w:t>Positive Cognitive Reappraisal in Stress Resilience , Mental Health , and Well-Being : A Comprehensive Systematic Review</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14</w:t>
      </w:r>
      <w:r w:rsidRPr="00026C75">
        <w:rPr>
          <w:rFonts w:ascii="Times New Roman" w:hAnsi="Times New Roman" w:cs="Times New Roman"/>
          <w:noProof/>
          <w:sz w:val="24"/>
          <w:szCs w:val="24"/>
        </w:rPr>
        <w:t>(4), 310–331. https://doi.org/10.1177/17540739221114642</w:t>
      </w:r>
    </w:p>
    <w:p w14:paraId="32305BBE" w14:textId="77777777" w:rsidR="00026C75" w:rsidRPr="00026C75" w:rsidRDefault="00026C75" w:rsidP="00026C75">
      <w:pPr>
        <w:pStyle w:val="ListParagraph"/>
        <w:rPr>
          <w:rFonts w:ascii="Times New Roman" w:hAnsi="Times New Roman" w:cs="Times New Roman"/>
          <w:noProof/>
          <w:sz w:val="24"/>
          <w:szCs w:val="24"/>
        </w:rPr>
      </w:pPr>
    </w:p>
    <w:p w14:paraId="07314D72" w14:textId="77777777" w:rsidR="00026C75" w:rsidRDefault="00026C75" w:rsidP="00386B05">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Xu, Z., Du, W., Zhao, H., &amp; Liu, Q. (2025). </w:t>
      </w:r>
      <w:r w:rsidRPr="00026C75">
        <w:rPr>
          <w:rFonts w:ascii="Times New Roman" w:hAnsi="Times New Roman" w:cs="Times New Roman"/>
          <w:i/>
          <w:iCs/>
          <w:noProof/>
          <w:sz w:val="24"/>
          <w:szCs w:val="24"/>
        </w:rPr>
        <w:t>The influence of college students ’ psychological resilience on problem solving : based on eye tracking technology</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August</w:t>
      </w:r>
      <w:r w:rsidRPr="00026C75">
        <w:rPr>
          <w:rFonts w:ascii="Times New Roman" w:hAnsi="Times New Roman" w:cs="Times New Roman"/>
          <w:noProof/>
          <w:sz w:val="24"/>
          <w:szCs w:val="24"/>
        </w:rPr>
        <w:t>, 1–21. https://doi.org/10.3389/fpsyg.2025.1616452</w:t>
      </w:r>
    </w:p>
    <w:p w14:paraId="0974B468" w14:textId="77777777" w:rsidR="00026C75" w:rsidRPr="00026C75" w:rsidRDefault="00026C75" w:rsidP="00026C75">
      <w:pPr>
        <w:pStyle w:val="ListParagraph"/>
        <w:rPr>
          <w:rFonts w:ascii="Times New Roman" w:hAnsi="Times New Roman" w:cs="Times New Roman"/>
          <w:noProof/>
          <w:sz w:val="24"/>
          <w:szCs w:val="24"/>
        </w:rPr>
      </w:pPr>
    </w:p>
    <w:p w14:paraId="01B0E42C" w14:textId="77777777" w:rsidR="00026C75" w:rsidRDefault="00026C75" w:rsidP="00026C7F">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szCs w:val="24"/>
        </w:rPr>
      </w:pPr>
      <w:r w:rsidRPr="00026C75">
        <w:rPr>
          <w:rFonts w:ascii="Times New Roman" w:hAnsi="Times New Roman" w:cs="Times New Roman"/>
          <w:noProof/>
          <w:sz w:val="24"/>
          <w:szCs w:val="24"/>
        </w:rPr>
        <w:t xml:space="preserve">Yazon, A. D., Ang-manaig, K., &amp; Tesoro, J. F. B. (2018). </w:t>
      </w:r>
      <w:r w:rsidRPr="00026C75">
        <w:rPr>
          <w:rFonts w:ascii="Times New Roman" w:hAnsi="Times New Roman" w:cs="Times New Roman"/>
          <w:i/>
          <w:iCs/>
          <w:noProof/>
          <w:sz w:val="24"/>
          <w:szCs w:val="24"/>
        </w:rPr>
        <w:t>Coping Mechanism and Academic Performance Among Filipino Undergraduate Students</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2018</w:t>
      </w:r>
      <w:r w:rsidRPr="00026C75">
        <w:rPr>
          <w:rFonts w:ascii="Times New Roman" w:hAnsi="Times New Roman" w:cs="Times New Roman"/>
          <w:noProof/>
          <w:sz w:val="24"/>
          <w:szCs w:val="24"/>
        </w:rPr>
        <w:t>(2003), 30–42. https://doi.org/10.18502/kss.v3i6.2372</w:t>
      </w:r>
    </w:p>
    <w:p w14:paraId="7A2E180A" w14:textId="77777777" w:rsidR="00026C75" w:rsidRPr="00026C75" w:rsidRDefault="00026C75" w:rsidP="00026C75">
      <w:pPr>
        <w:pStyle w:val="ListParagraph"/>
        <w:rPr>
          <w:rFonts w:ascii="Times New Roman" w:hAnsi="Times New Roman" w:cs="Times New Roman"/>
          <w:noProof/>
          <w:sz w:val="24"/>
          <w:szCs w:val="24"/>
        </w:rPr>
      </w:pPr>
    </w:p>
    <w:p w14:paraId="3DF1E9A5" w14:textId="77777777" w:rsidR="00026C75" w:rsidRPr="00026C75" w:rsidRDefault="00026C75" w:rsidP="00DF1E50">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rPr>
      </w:pPr>
      <w:r w:rsidRPr="00026C75">
        <w:rPr>
          <w:rFonts w:ascii="Times New Roman" w:hAnsi="Times New Roman" w:cs="Times New Roman"/>
          <w:noProof/>
          <w:sz w:val="24"/>
          <w:szCs w:val="24"/>
        </w:rPr>
        <w:t xml:space="preserve">Ye, Z., Yang, X., Zeng, C., Li, X., Wang, Y., Shen, Z., &amp; Lin, D. (2020). </w:t>
      </w:r>
      <w:r w:rsidRPr="00026C75">
        <w:rPr>
          <w:rFonts w:ascii="Times New Roman" w:hAnsi="Times New Roman" w:cs="Times New Roman"/>
          <w:i/>
          <w:iCs/>
          <w:noProof/>
          <w:sz w:val="24"/>
          <w:szCs w:val="24"/>
        </w:rPr>
        <w:t>Resilience , Social Support , and Coping as Mediators between COVID-19-related Stressful Experiences and Acute Stress Disorder among College Students in China</w:t>
      </w:r>
      <w:r w:rsidRPr="00026C75">
        <w:rPr>
          <w:rFonts w:ascii="Times New Roman" w:hAnsi="Times New Roman" w:cs="Times New Roman"/>
          <w:noProof/>
          <w:sz w:val="24"/>
          <w:szCs w:val="24"/>
        </w:rPr>
        <w:t>. https://doi.org/10.1111/aphw.12211</w:t>
      </w:r>
    </w:p>
    <w:p w14:paraId="049D4705" w14:textId="77777777" w:rsidR="00026C75" w:rsidRPr="00026C75" w:rsidRDefault="00026C75" w:rsidP="00026C75">
      <w:pPr>
        <w:pStyle w:val="ListParagraph"/>
        <w:rPr>
          <w:rFonts w:ascii="Times New Roman" w:hAnsi="Times New Roman" w:cs="Times New Roman"/>
          <w:noProof/>
          <w:sz w:val="24"/>
          <w:szCs w:val="24"/>
        </w:rPr>
      </w:pPr>
    </w:p>
    <w:p w14:paraId="5A673B2C" w14:textId="63E75D44" w:rsidR="00026C75" w:rsidRPr="00026C75" w:rsidRDefault="00026C75" w:rsidP="00DF1E50">
      <w:pPr>
        <w:pStyle w:val="ListParagraph"/>
        <w:widowControl w:val="0"/>
        <w:numPr>
          <w:ilvl w:val="0"/>
          <w:numId w:val="10"/>
        </w:numPr>
        <w:autoSpaceDE w:val="0"/>
        <w:autoSpaceDN w:val="0"/>
        <w:adjustRightInd w:val="0"/>
        <w:spacing w:before="240" w:after="240"/>
        <w:ind w:left="480" w:hanging="480"/>
        <w:rPr>
          <w:rFonts w:ascii="Times New Roman" w:hAnsi="Times New Roman" w:cs="Times New Roman"/>
          <w:noProof/>
          <w:sz w:val="24"/>
        </w:rPr>
      </w:pPr>
      <w:r w:rsidRPr="00026C75">
        <w:rPr>
          <w:rFonts w:ascii="Times New Roman" w:hAnsi="Times New Roman" w:cs="Times New Roman"/>
          <w:noProof/>
          <w:sz w:val="24"/>
          <w:szCs w:val="24"/>
        </w:rPr>
        <w:t xml:space="preserve">Zafra, M. D. O., Munoz, J. J. F., Martinez, E. F., Sanchez, F. J. G., Sanchez, A. A., &amp; Fernandez, M. L. P. (2020). Anxiety, Perceived Stress and Coping Strategies in Nursing Students: A Cross-Sectional Correlational Descriptive Study. </w:t>
      </w:r>
      <w:r w:rsidRPr="00026C75">
        <w:rPr>
          <w:rFonts w:ascii="Times New Roman" w:hAnsi="Times New Roman" w:cs="Times New Roman"/>
          <w:i/>
          <w:iCs/>
          <w:noProof/>
          <w:sz w:val="24"/>
          <w:szCs w:val="24"/>
        </w:rPr>
        <w:t>BMC Medical Education</w:t>
      </w:r>
      <w:r w:rsidRPr="00026C75">
        <w:rPr>
          <w:rFonts w:ascii="Times New Roman" w:hAnsi="Times New Roman" w:cs="Times New Roman"/>
          <w:noProof/>
          <w:sz w:val="24"/>
          <w:szCs w:val="24"/>
        </w:rPr>
        <w:t xml:space="preserve">, </w:t>
      </w:r>
      <w:r w:rsidRPr="00026C75">
        <w:rPr>
          <w:rFonts w:ascii="Times New Roman" w:hAnsi="Times New Roman" w:cs="Times New Roman"/>
          <w:i/>
          <w:iCs/>
          <w:noProof/>
          <w:sz w:val="24"/>
          <w:szCs w:val="24"/>
        </w:rPr>
        <w:t>20</w:t>
      </w:r>
      <w:r w:rsidRPr="00026C75">
        <w:rPr>
          <w:rFonts w:ascii="Times New Roman" w:hAnsi="Times New Roman" w:cs="Times New Roman"/>
          <w:noProof/>
          <w:sz w:val="24"/>
          <w:szCs w:val="24"/>
        </w:rPr>
        <w:t>(370), 1–9.</w:t>
      </w:r>
    </w:p>
    <w:p w14:paraId="5D0F464D" w14:textId="05609CFE" w:rsidR="00DF71F5" w:rsidRPr="006A20FB" w:rsidRDefault="00026C75" w:rsidP="006A20FB">
      <w:pPr>
        <w:spacing w:before="240" w:after="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end"/>
      </w:r>
    </w:p>
    <w:sectPr w:rsidR="00DF71F5" w:rsidRPr="006A20FB" w:rsidSect="00793DB5">
      <w:headerReference w:type="default" r:id="rId8"/>
      <w:pgSz w:w="11906" w:h="16838" w:code="9"/>
      <w:pgMar w:top="1080" w:right="605" w:bottom="605" w:left="605" w:header="346" w:footer="403"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C1981" w14:textId="77777777" w:rsidR="006A4BDE" w:rsidRDefault="006A4BDE">
      <w:r>
        <w:separator/>
      </w:r>
    </w:p>
  </w:endnote>
  <w:endnote w:type="continuationSeparator" w:id="0">
    <w:p w14:paraId="4B6A75DE" w14:textId="77777777" w:rsidR="006A4BDE" w:rsidRDefault="006A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7FDD9" w14:textId="77777777" w:rsidR="006A4BDE" w:rsidRDefault="006A4BDE">
      <w:r>
        <w:separator/>
      </w:r>
    </w:p>
  </w:footnote>
  <w:footnote w:type="continuationSeparator" w:id="0">
    <w:p w14:paraId="6334E9F0" w14:textId="77777777" w:rsidR="006A4BDE" w:rsidRDefault="006A4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7570"/>
      <w:docPartObj>
        <w:docPartGallery w:val="Page Numbers (Top of Page)"/>
        <w:docPartUnique/>
      </w:docPartObj>
    </w:sdtPr>
    <w:sdtEndPr>
      <w:rPr>
        <w:noProof/>
      </w:rPr>
    </w:sdtEndPr>
    <w:sdtContent>
      <w:p w14:paraId="2F6BE988" w14:textId="77777777" w:rsidR="00B4135A" w:rsidRDefault="00B4135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9EAC50C" w14:textId="77777777" w:rsidR="00B4135A" w:rsidRPr="00F31B5E" w:rsidRDefault="00B4135A">
    <w:pPr>
      <w:pStyle w:val="Header"/>
      <w:rPr>
        <w:rFonts w:ascii="Arial" w:hAnsi="Arial" w:cs="Arial"/>
        <w:sz w:val="24"/>
        <w:szCs w:val="24"/>
      </w:rPr>
    </w:pPr>
  </w:p>
  <w:p w14:paraId="1E963182" w14:textId="77777777" w:rsidR="00B4135A" w:rsidRDefault="00B4135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F0BCA"/>
    <w:multiLevelType w:val="hybridMultilevel"/>
    <w:tmpl w:val="0E0C5682"/>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1" w15:restartNumberingAfterBreak="0">
    <w:nsid w:val="061926D2"/>
    <w:multiLevelType w:val="hybridMultilevel"/>
    <w:tmpl w:val="6234B9DC"/>
    <w:lvl w:ilvl="0" w:tplc="044ACF32">
      <w:start w:val="1"/>
      <w:numFmt w:val="decimal"/>
      <w:lvlText w:val="%1."/>
      <w:lvlJc w:val="left"/>
      <w:pPr>
        <w:ind w:left="720" w:hanging="360"/>
      </w:pPr>
      <w:rPr>
        <w:rFonts w:hint="default"/>
        <w:b/>
        <w:i w:val="0"/>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45CC6E6E"/>
    <w:multiLevelType w:val="hybridMultilevel"/>
    <w:tmpl w:val="85F80C22"/>
    <w:lvl w:ilvl="0" w:tplc="044ACF32">
      <w:start w:val="1"/>
      <w:numFmt w:val="decimal"/>
      <w:lvlText w:val="%1."/>
      <w:lvlJc w:val="left"/>
      <w:pPr>
        <w:ind w:left="720" w:hanging="360"/>
      </w:pPr>
      <w:rPr>
        <w:rFonts w:hint="default"/>
        <w:b/>
        <w:i w:val="0"/>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4B983EE7"/>
    <w:multiLevelType w:val="hybridMultilevel"/>
    <w:tmpl w:val="054C9DE0"/>
    <w:lvl w:ilvl="0" w:tplc="66C890AE">
      <w:start w:val="1"/>
      <w:numFmt w:val="decimal"/>
      <w:lvlText w:val="%1."/>
      <w:lvlJc w:val="left"/>
      <w:pPr>
        <w:ind w:left="454" w:hanging="360"/>
      </w:pPr>
      <w:rPr>
        <w:rFonts w:hint="default"/>
      </w:rPr>
    </w:lvl>
    <w:lvl w:ilvl="1" w:tplc="34090019" w:tentative="1">
      <w:start w:val="1"/>
      <w:numFmt w:val="lowerLetter"/>
      <w:lvlText w:val="%2."/>
      <w:lvlJc w:val="left"/>
      <w:pPr>
        <w:ind w:left="1174" w:hanging="360"/>
      </w:pPr>
    </w:lvl>
    <w:lvl w:ilvl="2" w:tplc="3409001B" w:tentative="1">
      <w:start w:val="1"/>
      <w:numFmt w:val="lowerRoman"/>
      <w:lvlText w:val="%3."/>
      <w:lvlJc w:val="right"/>
      <w:pPr>
        <w:ind w:left="1894" w:hanging="180"/>
      </w:pPr>
    </w:lvl>
    <w:lvl w:ilvl="3" w:tplc="3409000F" w:tentative="1">
      <w:start w:val="1"/>
      <w:numFmt w:val="decimal"/>
      <w:lvlText w:val="%4."/>
      <w:lvlJc w:val="left"/>
      <w:pPr>
        <w:ind w:left="2614" w:hanging="360"/>
      </w:pPr>
    </w:lvl>
    <w:lvl w:ilvl="4" w:tplc="34090019" w:tentative="1">
      <w:start w:val="1"/>
      <w:numFmt w:val="lowerLetter"/>
      <w:lvlText w:val="%5."/>
      <w:lvlJc w:val="left"/>
      <w:pPr>
        <w:ind w:left="3334" w:hanging="360"/>
      </w:pPr>
    </w:lvl>
    <w:lvl w:ilvl="5" w:tplc="3409001B" w:tentative="1">
      <w:start w:val="1"/>
      <w:numFmt w:val="lowerRoman"/>
      <w:lvlText w:val="%6."/>
      <w:lvlJc w:val="right"/>
      <w:pPr>
        <w:ind w:left="4054" w:hanging="180"/>
      </w:pPr>
    </w:lvl>
    <w:lvl w:ilvl="6" w:tplc="3409000F" w:tentative="1">
      <w:start w:val="1"/>
      <w:numFmt w:val="decimal"/>
      <w:lvlText w:val="%7."/>
      <w:lvlJc w:val="left"/>
      <w:pPr>
        <w:ind w:left="4774" w:hanging="360"/>
      </w:pPr>
    </w:lvl>
    <w:lvl w:ilvl="7" w:tplc="34090019" w:tentative="1">
      <w:start w:val="1"/>
      <w:numFmt w:val="lowerLetter"/>
      <w:lvlText w:val="%8."/>
      <w:lvlJc w:val="left"/>
      <w:pPr>
        <w:ind w:left="5494" w:hanging="360"/>
      </w:pPr>
    </w:lvl>
    <w:lvl w:ilvl="8" w:tplc="3409001B" w:tentative="1">
      <w:start w:val="1"/>
      <w:numFmt w:val="lowerRoman"/>
      <w:lvlText w:val="%9."/>
      <w:lvlJc w:val="right"/>
      <w:pPr>
        <w:ind w:left="6214" w:hanging="180"/>
      </w:pPr>
    </w:lvl>
  </w:abstractNum>
  <w:abstractNum w:abstractNumId="4" w15:restartNumberingAfterBreak="0">
    <w:nsid w:val="50382EDE"/>
    <w:multiLevelType w:val="hybridMultilevel"/>
    <w:tmpl w:val="6A62D432"/>
    <w:lvl w:ilvl="0" w:tplc="34090001">
      <w:start w:val="1"/>
      <w:numFmt w:val="bullet"/>
      <w:lvlText w:val=""/>
      <w:lvlJc w:val="left"/>
      <w:pPr>
        <w:ind w:left="1080" w:hanging="360"/>
      </w:pPr>
      <w:rPr>
        <w:rFonts w:ascii="Symbol" w:hAnsi="Symbol"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5" w15:restartNumberingAfterBreak="0">
    <w:nsid w:val="514B7AF6"/>
    <w:multiLevelType w:val="hybridMultilevel"/>
    <w:tmpl w:val="65AE1F3A"/>
    <w:lvl w:ilvl="0" w:tplc="FB44E768">
      <w:start w:val="1"/>
      <w:numFmt w:val="upperLetter"/>
      <w:lvlText w:val="%1."/>
      <w:lvlJc w:val="left"/>
      <w:pPr>
        <w:ind w:left="360" w:hanging="360"/>
      </w:pPr>
      <w:rPr>
        <w:rFonts w:hint="default"/>
        <w:b/>
      </w:rPr>
    </w:lvl>
    <w:lvl w:ilvl="1" w:tplc="1208262C" w:tentative="1">
      <w:start w:val="1"/>
      <w:numFmt w:val="lowerLetter"/>
      <w:lvlText w:val="%2."/>
      <w:lvlJc w:val="left"/>
      <w:pPr>
        <w:ind w:left="1080" w:hanging="360"/>
      </w:pPr>
    </w:lvl>
    <w:lvl w:ilvl="2" w:tplc="B12A2262" w:tentative="1">
      <w:start w:val="1"/>
      <w:numFmt w:val="lowerRoman"/>
      <w:lvlText w:val="%3."/>
      <w:lvlJc w:val="right"/>
      <w:pPr>
        <w:ind w:left="1800" w:hanging="180"/>
      </w:pPr>
    </w:lvl>
    <w:lvl w:ilvl="3" w:tplc="9508CC42" w:tentative="1">
      <w:start w:val="1"/>
      <w:numFmt w:val="decimal"/>
      <w:lvlText w:val="%4."/>
      <w:lvlJc w:val="left"/>
      <w:pPr>
        <w:ind w:left="2520" w:hanging="360"/>
      </w:pPr>
    </w:lvl>
    <w:lvl w:ilvl="4" w:tplc="B6B262E6" w:tentative="1">
      <w:start w:val="1"/>
      <w:numFmt w:val="lowerLetter"/>
      <w:lvlText w:val="%5."/>
      <w:lvlJc w:val="left"/>
      <w:pPr>
        <w:ind w:left="3240" w:hanging="360"/>
      </w:pPr>
    </w:lvl>
    <w:lvl w:ilvl="5" w:tplc="920449C8" w:tentative="1">
      <w:start w:val="1"/>
      <w:numFmt w:val="lowerRoman"/>
      <w:lvlText w:val="%6."/>
      <w:lvlJc w:val="right"/>
      <w:pPr>
        <w:ind w:left="3960" w:hanging="180"/>
      </w:pPr>
    </w:lvl>
    <w:lvl w:ilvl="6" w:tplc="D57EE6AA" w:tentative="1">
      <w:start w:val="1"/>
      <w:numFmt w:val="decimal"/>
      <w:lvlText w:val="%7."/>
      <w:lvlJc w:val="left"/>
      <w:pPr>
        <w:ind w:left="4680" w:hanging="360"/>
      </w:pPr>
    </w:lvl>
    <w:lvl w:ilvl="7" w:tplc="AAD0705A" w:tentative="1">
      <w:start w:val="1"/>
      <w:numFmt w:val="lowerLetter"/>
      <w:lvlText w:val="%8."/>
      <w:lvlJc w:val="left"/>
      <w:pPr>
        <w:ind w:left="5400" w:hanging="360"/>
      </w:pPr>
    </w:lvl>
    <w:lvl w:ilvl="8" w:tplc="B1F6D09E" w:tentative="1">
      <w:start w:val="1"/>
      <w:numFmt w:val="lowerRoman"/>
      <w:lvlText w:val="%9."/>
      <w:lvlJc w:val="right"/>
      <w:pPr>
        <w:ind w:left="6120" w:hanging="180"/>
      </w:pPr>
    </w:lvl>
  </w:abstractNum>
  <w:abstractNum w:abstractNumId="6" w15:restartNumberingAfterBreak="0">
    <w:nsid w:val="5222173B"/>
    <w:multiLevelType w:val="hybridMultilevel"/>
    <w:tmpl w:val="785284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6D6D32D6"/>
    <w:multiLevelType w:val="hybridMultilevel"/>
    <w:tmpl w:val="B00EB696"/>
    <w:lvl w:ilvl="0" w:tplc="332CAFC6">
      <w:start w:val="1"/>
      <w:numFmt w:val="bullet"/>
      <w:lvlText w:val=""/>
      <w:lvlJc w:val="left"/>
      <w:pPr>
        <w:ind w:left="720" w:hanging="360"/>
      </w:pPr>
      <w:rPr>
        <w:rFonts w:ascii="Symbol" w:eastAsia="Calibri" w:hAnsi="Symbo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75DE24DD"/>
    <w:multiLevelType w:val="hybridMultilevel"/>
    <w:tmpl w:val="6CC8C574"/>
    <w:lvl w:ilvl="0" w:tplc="30161888">
      <w:start w:val="1"/>
      <w:numFmt w:val="decimal"/>
      <w:lvlText w:val="%1."/>
      <w:lvlJc w:val="left"/>
      <w:pPr>
        <w:ind w:left="720" w:hanging="360"/>
      </w:pPr>
      <w:rPr>
        <w:rFonts w:hint="default"/>
        <w:color w:val="000000" w:themeColor="text1"/>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7B147CA0"/>
    <w:multiLevelType w:val="hybridMultilevel"/>
    <w:tmpl w:val="16C02BDE"/>
    <w:lvl w:ilvl="0" w:tplc="54A4A6D0">
      <w:start w:val="1"/>
      <w:numFmt w:val="bullet"/>
      <w:lvlText w:val=""/>
      <w:lvlJc w:val="left"/>
      <w:pPr>
        <w:ind w:left="720" w:hanging="360"/>
      </w:pPr>
      <w:rPr>
        <w:rFonts w:ascii="Symbol" w:hAnsi="Symbol" w:hint="default"/>
      </w:rPr>
    </w:lvl>
    <w:lvl w:ilvl="1" w:tplc="0E5E906C" w:tentative="1">
      <w:start w:val="1"/>
      <w:numFmt w:val="bullet"/>
      <w:lvlText w:val="o"/>
      <w:lvlJc w:val="left"/>
      <w:pPr>
        <w:ind w:left="1440" w:hanging="360"/>
      </w:pPr>
      <w:rPr>
        <w:rFonts w:ascii="Courier New" w:hAnsi="Courier New" w:cs="Courier New" w:hint="default"/>
      </w:rPr>
    </w:lvl>
    <w:lvl w:ilvl="2" w:tplc="E9CCE424" w:tentative="1">
      <w:start w:val="1"/>
      <w:numFmt w:val="bullet"/>
      <w:lvlText w:val=""/>
      <w:lvlJc w:val="left"/>
      <w:pPr>
        <w:ind w:left="2160" w:hanging="360"/>
      </w:pPr>
      <w:rPr>
        <w:rFonts w:ascii="Wingdings" w:hAnsi="Wingdings" w:hint="default"/>
      </w:rPr>
    </w:lvl>
    <w:lvl w:ilvl="3" w:tplc="CF5ED55E" w:tentative="1">
      <w:start w:val="1"/>
      <w:numFmt w:val="bullet"/>
      <w:lvlText w:val=""/>
      <w:lvlJc w:val="left"/>
      <w:pPr>
        <w:ind w:left="2880" w:hanging="360"/>
      </w:pPr>
      <w:rPr>
        <w:rFonts w:ascii="Symbol" w:hAnsi="Symbol" w:hint="default"/>
      </w:rPr>
    </w:lvl>
    <w:lvl w:ilvl="4" w:tplc="0AF6D0F4" w:tentative="1">
      <w:start w:val="1"/>
      <w:numFmt w:val="bullet"/>
      <w:lvlText w:val="o"/>
      <w:lvlJc w:val="left"/>
      <w:pPr>
        <w:ind w:left="3600" w:hanging="360"/>
      </w:pPr>
      <w:rPr>
        <w:rFonts w:ascii="Courier New" w:hAnsi="Courier New" w:cs="Courier New" w:hint="default"/>
      </w:rPr>
    </w:lvl>
    <w:lvl w:ilvl="5" w:tplc="E1425922" w:tentative="1">
      <w:start w:val="1"/>
      <w:numFmt w:val="bullet"/>
      <w:lvlText w:val=""/>
      <w:lvlJc w:val="left"/>
      <w:pPr>
        <w:ind w:left="4320" w:hanging="360"/>
      </w:pPr>
      <w:rPr>
        <w:rFonts w:ascii="Wingdings" w:hAnsi="Wingdings" w:hint="default"/>
      </w:rPr>
    </w:lvl>
    <w:lvl w:ilvl="6" w:tplc="D67AC822" w:tentative="1">
      <w:start w:val="1"/>
      <w:numFmt w:val="bullet"/>
      <w:lvlText w:val=""/>
      <w:lvlJc w:val="left"/>
      <w:pPr>
        <w:ind w:left="5040" w:hanging="360"/>
      </w:pPr>
      <w:rPr>
        <w:rFonts w:ascii="Symbol" w:hAnsi="Symbol" w:hint="default"/>
      </w:rPr>
    </w:lvl>
    <w:lvl w:ilvl="7" w:tplc="691A9B74" w:tentative="1">
      <w:start w:val="1"/>
      <w:numFmt w:val="bullet"/>
      <w:lvlText w:val="o"/>
      <w:lvlJc w:val="left"/>
      <w:pPr>
        <w:ind w:left="5760" w:hanging="360"/>
      </w:pPr>
      <w:rPr>
        <w:rFonts w:ascii="Courier New" w:hAnsi="Courier New" w:cs="Courier New" w:hint="default"/>
      </w:rPr>
    </w:lvl>
    <w:lvl w:ilvl="8" w:tplc="60F4E584"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9"/>
  </w:num>
  <w:num w:numId="6">
    <w:abstractNumId w:val="6"/>
  </w:num>
  <w:num w:numId="7">
    <w:abstractNumId w:val="7"/>
  </w:num>
  <w:num w:numId="8">
    <w:abstractNumId w:val="1"/>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F8A"/>
    <w:rsid w:val="00010577"/>
    <w:rsid w:val="00011475"/>
    <w:rsid w:val="000119A1"/>
    <w:rsid w:val="0001349D"/>
    <w:rsid w:val="00025332"/>
    <w:rsid w:val="00025B07"/>
    <w:rsid w:val="00026C75"/>
    <w:rsid w:val="00030C32"/>
    <w:rsid w:val="0003241C"/>
    <w:rsid w:val="00032E8B"/>
    <w:rsid w:val="000370B1"/>
    <w:rsid w:val="00043851"/>
    <w:rsid w:val="0005263E"/>
    <w:rsid w:val="00060688"/>
    <w:rsid w:val="00061C13"/>
    <w:rsid w:val="0006357B"/>
    <w:rsid w:val="00063D65"/>
    <w:rsid w:val="00064CB4"/>
    <w:rsid w:val="00065CFE"/>
    <w:rsid w:val="00066079"/>
    <w:rsid w:val="000664FC"/>
    <w:rsid w:val="00071E2E"/>
    <w:rsid w:val="00090272"/>
    <w:rsid w:val="000A2837"/>
    <w:rsid w:val="000A6CB7"/>
    <w:rsid w:val="000C1F81"/>
    <w:rsid w:val="000D6AEA"/>
    <w:rsid w:val="000E0834"/>
    <w:rsid w:val="000E0B48"/>
    <w:rsid w:val="000F043E"/>
    <w:rsid w:val="000F3100"/>
    <w:rsid w:val="000F38F0"/>
    <w:rsid w:val="000F3992"/>
    <w:rsid w:val="000F4A09"/>
    <w:rsid w:val="000F6E4E"/>
    <w:rsid w:val="0010402D"/>
    <w:rsid w:val="00105168"/>
    <w:rsid w:val="00105B43"/>
    <w:rsid w:val="00112863"/>
    <w:rsid w:val="001172F5"/>
    <w:rsid w:val="00125668"/>
    <w:rsid w:val="00127790"/>
    <w:rsid w:val="00133248"/>
    <w:rsid w:val="00136519"/>
    <w:rsid w:val="00136C0B"/>
    <w:rsid w:val="001375FC"/>
    <w:rsid w:val="001402D5"/>
    <w:rsid w:val="0014033B"/>
    <w:rsid w:val="00140620"/>
    <w:rsid w:val="00140ECE"/>
    <w:rsid w:val="00155FAB"/>
    <w:rsid w:val="00157D44"/>
    <w:rsid w:val="00161A02"/>
    <w:rsid w:val="00162481"/>
    <w:rsid w:val="001656D3"/>
    <w:rsid w:val="001761A5"/>
    <w:rsid w:val="001818E1"/>
    <w:rsid w:val="00184D9B"/>
    <w:rsid w:val="00185AEF"/>
    <w:rsid w:val="0019526D"/>
    <w:rsid w:val="0019728E"/>
    <w:rsid w:val="001975BE"/>
    <w:rsid w:val="001A4F3F"/>
    <w:rsid w:val="001C0497"/>
    <w:rsid w:val="001C4277"/>
    <w:rsid w:val="001C56C8"/>
    <w:rsid w:val="001D14A2"/>
    <w:rsid w:val="001D2698"/>
    <w:rsid w:val="001E68F0"/>
    <w:rsid w:val="001F08D6"/>
    <w:rsid w:val="001F4418"/>
    <w:rsid w:val="00201D51"/>
    <w:rsid w:val="00207BBC"/>
    <w:rsid w:val="00212ABF"/>
    <w:rsid w:val="00215507"/>
    <w:rsid w:val="00225218"/>
    <w:rsid w:val="002276EB"/>
    <w:rsid w:val="00233886"/>
    <w:rsid w:val="00245649"/>
    <w:rsid w:val="00270BB2"/>
    <w:rsid w:val="00282F9B"/>
    <w:rsid w:val="00286B11"/>
    <w:rsid w:val="002922F2"/>
    <w:rsid w:val="00294141"/>
    <w:rsid w:val="0029656C"/>
    <w:rsid w:val="00297F88"/>
    <w:rsid w:val="002A4559"/>
    <w:rsid w:val="002A7B67"/>
    <w:rsid w:val="002B1349"/>
    <w:rsid w:val="002B3161"/>
    <w:rsid w:val="002B58A3"/>
    <w:rsid w:val="002C013A"/>
    <w:rsid w:val="002C04FC"/>
    <w:rsid w:val="002C5EE1"/>
    <w:rsid w:val="002E0A1A"/>
    <w:rsid w:val="002E2D30"/>
    <w:rsid w:val="002E334E"/>
    <w:rsid w:val="002E6087"/>
    <w:rsid w:val="002F304D"/>
    <w:rsid w:val="00301332"/>
    <w:rsid w:val="00305414"/>
    <w:rsid w:val="00310159"/>
    <w:rsid w:val="00316581"/>
    <w:rsid w:val="003250CF"/>
    <w:rsid w:val="00325837"/>
    <w:rsid w:val="00325CEB"/>
    <w:rsid w:val="003265DA"/>
    <w:rsid w:val="003334B7"/>
    <w:rsid w:val="00335FD1"/>
    <w:rsid w:val="0034383B"/>
    <w:rsid w:val="003519FC"/>
    <w:rsid w:val="0035446A"/>
    <w:rsid w:val="00355391"/>
    <w:rsid w:val="00357D6F"/>
    <w:rsid w:val="0036122B"/>
    <w:rsid w:val="00374C17"/>
    <w:rsid w:val="00382CB4"/>
    <w:rsid w:val="0038653F"/>
    <w:rsid w:val="003A2719"/>
    <w:rsid w:val="003A60B3"/>
    <w:rsid w:val="003B2CD2"/>
    <w:rsid w:val="003B4B41"/>
    <w:rsid w:val="003C53D4"/>
    <w:rsid w:val="003C78E2"/>
    <w:rsid w:val="003E24D1"/>
    <w:rsid w:val="003E2E8F"/>
    <w:rsid w:val="003E7648"/>
    <w:rsid w:val="003E7ECB"/>
    <w:rsid w:val="00405312"/>
    <w:rsid w:val="00415BC8"/>
    <w:rsid w:val="00416CA9"/>
    <w:rsid w:val="00421186"/>
    <w:rsid w:val="004262BD"/>
    <w:rsid w:val="0043035E"/>
    <w:rsid w:val="00440746"/>
    <w:rsid w:val="004429CA"/>
    <w:rsid w:val="00443369"/>
    <w:rsid w:val="00456339"/>
    <w:rsid w:val="00456870"/>
    <w:rsid w:val="00456DF4"/>
    <w:rsid w:val="004600EC"/>
    <w:rsid w:val="00461D54"/>
    <w:rsid w:val="00463A4B"/>
    <w:rsid w:val="00470924"/>
    <w:rsid w:val="00480D95"/>
    <w:rsid w:val="00481926"/>
    <w:rsid w:val="00485B37"/>
    <w:rsid w:val="0048605E"/>
    <w:rsid w:val="00490C15"/>
    <w:rsid w:val="00496DF2"/>
    <w:rsid w:val="004A2251"/>
    <w:rsid w:val="004B4944"/>
    <w:rsid w:val="004B7702"/>
    <w:rsid w:val="004B7E8B"/>
    <w:rsid w:val="004C030C"/>
    <w:rsid w:val="004C7EBC"/>
    <w:rsid w:val="004D1167"/>
    <w:rsid w:val="004D6E2D"/>
    <w:rsid w:val="004E39F2"/>
    <w:rsid w:val="004E6778"/>
    <w:rsid w:val="004E74CD"/>
    <w:rsid w:val="004F754B"/>
    <w:rsid w:val="004F7B6A"/>
    <w:rsid w:val="00500534"/>
    <w:rsid w:val="005054BF"/>
    <w:rsid w:val="00505858"/>
    <w:rsid w:val="00511F8A"/>
    <w:rsid w:val="00515E40"/>
    <w:rsid w:val="0051682A"/>
    <w:rsid w:val="00520306"/>
    <w:rsid w:val="0052156D"/>
    <w:rsid w:val="00523248"/>
    <w:rsid w:val="00540B7B"/>
    <w:rsid w:val="00542972"/>
    <w:rsid w:val="005470DE"/>
    <w:rsid w:val="005527D1"/>
    <w:rsid w:val="005557F1"/>
    <w:rsid w:val="00572704"/>
    <w:rsid w:val="00584B91"/>
    <w:rsid w:val="0058501C"/>
    <w:rsid w:val="005919BD"/>
    <w:rsid w:val="00593549"/>
    <w:rsid w:val="00594707"/>
    <w:rsid w:val="0059625B"/>
    <w:rsid w:val="00597A97"/>
    <w:rsid w:val="005A2F1C"/>
    <w:rsid w:val="005A6166"/>
    <w:rsid w:val="005A66B2"/>
    <w:rsid w:val="005B4647"/>
    <w:rsid w:val="005B53D9"/>
    <w:rsid w:val="005C03CA"/>
    <w:rsid w:val="005C159C"/>
    <w:rsid w:val="005D0513"/>
    <w:rsid w:val="005D0897"/>
    <w:rsid w:val="005D102A"/>
    <w:rsid w:val="005D3A75"/>
    <w:rsid w:val="005D4B98"/>
    <w:rsid w:val="005E4F86"/>
    <w:rsid w:val="005E7DAA"/>
    <w:rsid w:val="005F05A6"/>
    <w:rsid w:val="006107C0"/>
    <w:rsid w:val="00614591"/>
    <w:rsid w:val="00615D66"/>
    <w:rsid w:val="00617978"/>
    <w:rsid w:val="006224DB"/>
    <w:rsid w:val="00622DB8"/>
    <w:rsid w:val="00624BCA"/>
    <w:rsid w:val="00624D9B"/>
    <w:rsid w:val="00636DFF"/>
    <w:rsid w:val="00650886"/>
    <w:rsid w:val="006523B3"/>
    <w:rsid w:val="00653B8F"/>
    <w:rsid w:val="00657269"/>
    <w:rsid w:val="00664DE4"/>
    <w:rsid w:val="00675B1B"/>
    <w:rsid w:val="0067611E"/>
    <w:rsid w:val="00683925"/>
    <w:rsid w:val="00690E79"/>
    <w:rsid w:val="00691D58"/>
    <w:rsid w:val="00692274"/>
    <w:rsid w:val="00693516"/>
    <w:rsid w:val="00694026"/>
    <w:rsid w:val="0069556A"/>
    <w:rsid w:val="006A0A7C"/>
    <w:rsid w:val="006A20FB"/>
    <w:rsid w:val="006A4BDE"/>
    <w:rsid w:val="006B03E8"/>
    <w:rsid w:val="006B269B"/>
    <w:rsid w:val="006B4DE8"/>
    <w:rsid w:val="006C2A3E"/>
    <w:rsid w:val="006D7D83"/>
    <w:rsid w:val="006E1EDA"/>
    <w:rsid w:val="006E5F58"/>
    <w:rsid w:val="006F01C7"/>
    <w:rsid w:val="006F4C16"/>
    <w:rsid w:val="0070016A"/>
    <w:rsid w:val="007040E6"/>
    <w:rsid w:val="007043F3"/>
    <w:rsid w:val="00712230"/>
    <w:rsid w:val="0071305A"/>
    <w:rsid w:val="0071685A"/>
    <w:rsid w:val="00716FA0"/>
    <w:rsid w:val="00720723"/>
    <w:rsid w:val="00724A28"/>
    <w:rsid w:val="007344A3"/>
    <w:rsid w:val="00740D68"/>
    <w:rsid w:val="00745864"/>
    <w:rsid w:val="007460E4"/>
    <w:rsid w:val="00747CEB"/>
    <w:rsid w:val="007523B1"/>
    <w:rsid w:val="00753E39"/>
    <w:rsid w:val="007726D8"/>
    <w:rsid w:val="00775CB5"/>
    <w:rsid w:val="0077661A"/>
    <w:rsid w:val="00776B54"/>
    <w:rsid w:val="00777A21"/>
    <w:rsid w:val="00787135"/>
    <w:rsid w:val="007875A6"/>
    <w:rsid w:val="00791347"/>
    <w:rsid w:val="007935EC"/>
    <w:rsid w:val="00793DB5"/>
    <w:rsid w:val="00794D92"/>
    <w:rsid w:val="007A15D2"/>
    <w:rsid w:val="007B3CF7"/>
    <w:rsid w:val="007B500B"/>
    <w:rsid w:val="007C393B"/>
    <w:rsid w:val="007C7043"/>
    <w:rsid w:val="007C7597"/>
    <w:rsid w:val="007D24E9"/>
    <w:rsid w:val="007D34A4"/>
    <w:rsid w:val="007E0841"/>
    <w:rsid w:val="007E0D97"/>
    <w:rsid w:val="007E0F65"/>
    <w:rsid w:val="007F344C"/>
    <w:rsid w:val="007F62E7"/>
    <w:rsid w:val="00807796"/>
    <w:rsid w:val="0081002C"/>
    <w:rsid w:val="0081105A"/>
    <w:rsid w:val="0081318D"/>
    <w:rsid w:val="008132AD"/>
    <w:rsid w:val="00813C86"/>
    <w:rsid w:val="00817BAC"/>
    <w:rsid w:val="008235E2"/>
    <w:rsid w:val="00823D2A"/>
    <w:rsid w:val="00824C3E"/>
    <w:rsid w:val="00827C2F"/>
    <w:rsid w:val="008302E0"/>
    <w:rsid w:val="0083170F"/>
    <w:rsid w:val="00831F56"/>
    <w:rsid w:val="0084212F"/>
    <w:rsid w:val="0084365A"/>
    <w:rsid w:val="00845960"/>
    <w:rsid w:val="0085308E"/>
    <w:rsid w:val="00855F56"/>
    <w:rsid w:val="00855FA4"/>
    <w:rsid w:val="0085765C"/>
    <w:rsid w:val="00866456"/>
    <w:rsid w:val="008674F5"/>
    <w:rsid w:val="00867EF3"/>
    <w:rsid w:val="00870C51"/>
    <w:rsid w:val="008774DF"/>
    <w:rsid w:val="00883EC9"/>
    <w:rsid w:val="008845ED"/>
    <w:rsid w:val="00887BF7"/>
    <w:rsid w:val="00892740"/>
    <w:rsid w:val="00893CAB"/>
    <w:rsid w:val="008978E8"/>
    <w:rsid w:val="008A0D90"/>
    <w:rsid w:val="008A2A05"/>
    <w:rsid w:val="008B03C9"/>
    <w:rsid w:val="008B4A58"/>
    <w:rsid w:val="008B6467"/>
    <w:rsid w:val="008C5480"/>
    <w:rsid w:val="008D19AC"/>
    <w:rsid w:val="008D44D1"/>
    <w:rsid w:val="008D6C1B"/>
    <w:rsid w:val="008F2596"/>
    <w:rsid w:val="008F58BC"/>
    <w:rsid w:val="00903307"/>
    <w:rsid w:val="00914B77"/>
    <w:rsid w:val="00923B0A"/>
    <w:rsid w:val="0093511D"/>
    <w:rsid w:val="00936489"/>
    <w:rsid w:val="00955779"/>
    <w:rsid w:val="00962019"/>
    <w:rsid w:val="009626CF"/>
    <w:rsid w:val="00962F52"/>
    <w:rsid w:val="00967E88"/>
    <w:rsid w:val="00973DF1"/>
    <w:rsid w:val="00980177"/>
    <w:rsid w:val="009844A8"/>
    <w:rsid w:val="0098477D"/>
    <w:rsid w:val="00987802"/>
    <w:rsid w:val="0099066B"/>
    <w:rsid w:val="00990E16"/>
    <w:rsid w:val="00993F61"/>
    <w:rsid w:val="0099420E"/>
    <w:rsid w:val="00995AB8"/>
    <w:rsid w:val="009972EA"/>
    <w:rsid w:val="009A2F4F"/>
    <w:rsid w:val="009B6781"/>
    <w:rsid w:val="009C6EEE"/>
    <w:rsid w:val="009C7092"/>
    <w:rsid w:val="009C77E5"/>
    <w:rsid w:val="009C7A97"/>
    <w:rsid w:val="009E6672"/>
    <w:rsid w:val="009F0006"/>
    <w:rsid w:val="009F1384"/>
    <w:rsid w:val="00A02D69"/>
    <w:rsid w:val="00A04436"/>
    <w:rsid w:val="00A63191"/>
    <w:rsid w:val="00A65B18"/>
    <w:rsid w:val="00A66871"/>
    <w:rsid w:val="00A70E6B"/>
    <w:rsid w:val="00A76B24"/>
    <w:rsid w:val="00A8124F"/>
    <w:rsid w:val="00A9247C"/>
    <w:rsid w:val="00A93AB0"/>
    <w:rsid w:val="00A93F8A"/>
    <w:rsid w:val="00A941E9"/>
    <w:rsid w:val="00A96BDF"/>
    <w:rsid w:val="00AA600D"/>
    <w:rsid w:val="00AB1105"/>
    <w:rsid w:val="00AC2CD2"/>
    <w:rsid w:val="00AC644F"/>
    <w:rsid w:val="00AE57C6"/>
    <w:rsid w:val="00AF6157"/>
    <w:rsid w:val="00B02184"/>
    <w:rsid w:val="00B02798"/>
    <w:rsid w:val="00B0683C"/>
    <w:rsid w:val="00B2188F"/>
    <w:rsid w:val="00B306D4"/>
    <w:rsid w:val="00B35194"/>
    <w:rsid w:val="00B4135A"/>
    <w:rsid w:val="00B447A3"/>
    <w:rsid w:val="00B46C67"/>
    <w:rsid w:val="00B47491"/>
    <w:rsid w:val="00B50F35"/>
    <w:rsid w:val="00B609D0"/>
    <w:rsid w:val="00B63FA7"/>
    <w:rsid w:val="00B64921"/>
    <w:rsid w:val="00B715BD"/>
    <w:rsid w:val="00B86D68"/>
    <w:rsid w:val="00B87393"/>
    <w:rsid w:val="00B8786E"/>
    <w:rsid w:val="00B91F12"/>
    <w:rsid w:val="00BC08A3"/>
    <w:rsid w:val="00BC1EB7"/>
    <w:rsid w:val="00BC2216"/>
    <w:rsid w:val="00BC4751"/>
    <w:rsid w:val="00BC548B"/>
    <w:rsid w:val="00BD00DE"/>
    <w:rsid w:val="00BD725B"/>
    <w:rsid w:val="00BE32E0"/>
    <w:rsid w:val="00BE4864"/>
    <w:rsid w:val="00BE5456"/>
    <w:rsid w:val="00BE598D"/>
    <w:rsid w:val="00BE5CC3"/>
    <w:rsid w:val="00BF18C6"/>
    <w:rsid w:val="00BF21E0"/>
    <w:rsid w:val="00C05441"/>
    <w:rsid w:val="00C14C4E"/>
    <w:rsid w:val="00C17B26"/>
    <w:rsid w:val="00C2429D"/>
    <w:rsid w:val="00C247D9"/>
    <w:rsid w:val="00C3497F"/>
    <w:rsid w:val="00C35044"/>
    <w:rsid w:val="00C350CA"/>
    <w:rsid w:val="00C350F1"/>
    <w:rsid w:val="00C35484"/>
    <w:rsid w:val="00C37A6B"/>
    <w:rsid w:val="00C451B0"/>
    <w:rsid w:val="00C457A8"/>
    <w:rsid w:val="00C4623D"/>
    <w:rsid w:val="00C464DE"/>
    <w:rsid w:val="00C52575"/>
    <w:rsid w:val="00C56616"/>
    <w:rsid w:val="00C61A45"/>
    <w:rsid w:val="00C621D3"/>
    <w:rsid w:val="00C63A1E"/>
    <w:rsid w:val="00C63C0D"/>
    <w:rsid w:val="00C647B0"/>
    <w:rsid w:val="00C7519B"/>
    <w:rsid w:val="00C812A4"/>
    <w:rsid w:val="00C856DE"/>
    <w:rsid w:val="00C946CE"/>
    <w:rsid w:val="00C9652D"/>
    <w:rsid w:val="00CA0AFA"/>
    <w:rsid w:val="00CB78C4"/>
    <w:rsid w:val="00CD209C"/>
    <w:rsid w:val="00CD2B4B"/>
    <w:rsid w:val="00CD45D7"/>
    <w:rsid w:val="00CD6A3A"/>
    <w:rsid w:val="00CE1509"/>
    <w:rsid w:val="00CE2C4F"/>
    <w:rsid w:val="00CE57C2"/>
    <w:rsid w:val="00CF30EF"/>
    <w:rsid w:val="00CF4564"/>
    <w:rsid w:val="00D00922"/>
    <w:rsid w:val="00D01F2B"/>
    <w:rsid w:val="00D11DEC"/>
    <w:rsid w:val="00D1250F"/>
    <w:rsid w:val="00D228EE"/>
    <w:rsid w:val="00D24308"/>
    <w:rsid w:val="00D259B2"/>
    <w:rsid w:val="00D357E3"/>
    <w:rsid w:val="00D41D8C"/>
    <w:rsid w:val="00D4313C"/>
    <w:rsid w:val="00D45C36"/>
    <w:rsid w:val="00D50ECB"/>
    <w:rsid w:val="00D55B18"/>
    <w:rsid w:val="00D55C06"/>
    <w:rsid w:val="00D56A1F"/>
    <w:rsid w:val="00D612F8"/>
    <w:rsid w:val="00D618BF"/>
    <w:rsid w:val="00D623D5"/>
    <w:rsid w:val="00D6711B"/>
    <w:rsid w:val="00D73BA6"/>
    <w:rsid w:val="00D807D4"/>
    <w:rsid w:val="00D92D45"/>
    <w:rsid w:val="00D936FD"/>
    <w:rsid w:val="00D93E8C"/>
    <w:rsid w:val="00DA44E4"/>
    <w:rsid w:val="00DA6ACC"/>
    <w:rsid w:val="00DA7A6A"/>
    <w:rsid w:val="00DB390D"/>
    <w:rsid w:val="00DB6B6E"/>
    <w:rsid w:val="00DB7EFE"/>
    <w:rsid w:val="00DC41A7"/>
    <w:rsid w:val="00DC7D41"/>
    <w:rsid w:val="00DD2DD6"/>
    <w:rsid w:val="00DD6D5B"/>
    <w:rsid w:val="00DE4587"/>
    <w:rsid w:val="00DF44C8"/>
    <w:rsid w:val="00DF4F57"/>
    <w:rsid w:val="00DF71F5"/>
    <w:rsid w:val="00DF786C"/>
    <w:rsid w:val="00E02149"/>
    <w:rsid w:val="00E029FA"/>
    <w:rsid w:val="00E03641"/>
    <w:rsid w:val="00E06280"/>
    <w:rsid w:val="00E06401"/>
    <w:rsid w:val="00E109CF"/>
    <w:rsid w:val="00E16AC1"/>
    <w:rsid w:val="00E33682"/>
    <w:rsid w:val="00E3682F"/>
    <w:rsid w:val="00E41766"/>
    <w:rsid w:val="00E451A1"/>
    <w:rsid w:val="00E471F0"/>
    <w:rsid w:val="00E478FA"/>
    <w:rsid w:val="00E5655C"/>
    <w:rsid w:val="00E63070"/>
    <w:rsid w:val="00E63CAD"/>
    <w:rsid w:val="00E70145"/>
    <w:rsid w:val="00E721DB"/>
    <w:rsid w:val="00E72E39"/>
    <w:rsid w:val="00E7335D"/>
    <w:rsid w:val="00E73FAA"/>
    <w:rsid w:val="00E7448F"/>
    <w:rsid w:val="00E767F0"/>
    <w:rsid w:val="00E84298"/>
    <w:rsid w:val="00E860E2"/>
    <w:rsid w:val="00E92340"/>
    <w:rsid w:val="00E93130"/>
    <w:rsid w:val="00E9534A"/>
    <w:rsid w:val="00E96347"/>
    <w:rsid w:val="00E97ECC"/>
    <w:rsid w:val="00EB0099"/>
    <w:rsid w:val="00EB0DEE"/>
    <w:rsid w:val="00EB2727"/>
    <w:rsid w:val="00EB52F1"/>
    <w:rsid w:val="00EC2D7A"/>
    <w:rsid w:val="00EC45DC"/>
    <w:rsid w:val="00ED09EB"/>
    <w:rsid w:val="00EE37BE"/>
    <w:rsid w:val="00EE38C4"/>
    <w:rsid w:val="00EE5723"/>
    <w:rsid w:val="00EE5B94"/>
    <w:rsid w:val="00F032F4"/>
    <w:rsid w:val="00F06E60"/>
    <w:rsid w:val="00F14DEA"/>
    <w:rsid w:val="00F176B3"/>
    <w:rsid w:val="00F2522A"/>
    <w:rsid w:val="00F31B5E"/>
    <w:rsid w:val="00F32ED1"/>
    <w:rsid w:val="00F35CAF"/>
    <w:rsid w:val="00F432C5"/>
    <w:rsid w:val="00F4552B"/>
    <w:rsid w:val="00F4694A"/>
    <w:rsid w:val="00F473CA"/>
    <w:rsid w:val="00F528BE"/>
    <w:rsid w:val="00F53189"/>
    <w:rsid w:val="00F6406B"/>
    <w:rsid w:val="00F719C1"/>
    <w:rsid w:val="00F77465"/>
    <w:rsid w:val="00F80B05"/>
    <w:rsid w:val="00F8106D"/>
    <w:rsid w:val="00F90AD7"/>
    <w:rsid w:val="00F931FC"/>
    <w:rsid w:val="00F95240"/>
    <w:rsid w:val="00FA3360"/>
    <w:rsid w:val="00FA410C"/>
    <w:rsid w:val="00FA523E"/>
    <w:rsid w:val="00FB0004"/>
    <w:rsid w:val="00FC5874"/>
    <w:rsid w:val="00FC7ACF"/>
    <w:rsid w:val="00FE08D5"/>
    <w:rsid w:val="00FE192F"/>
    <w:rsid w:val="00FE2246"/>
    <w:rsid w:val="00FE2981"/>
    <w:rsid w:val="00FF5038"/>
    <w:rsid w:val="00FF673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3DAFD"/>
  <w15:chartTrackingRefBased/>
  <w15:docId w15:val="{008DE765-730F-48F0-AF28-4B27D9B4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F8A"/>
    <w:pPr>
      <w:spacing w:after="0" w:line="240" w:lineRule="auto"/>
      <w:jc w:val="both"/>
    </w:pPr>
    <w:rPr>
      <w:lang w:val="en-US"/>
    </w:rPr>
  </w:style>
  <w:style w:type="paragraph" w:styleId="Heading1">
    <w:name w:val="heading 1"/>
    <w:basedOn w:val="Normal"/>
    <w:link w:val="Heading1Char"/>
    <w:uiPriority w:val="1"/>
    <w:qFormat/>
    <w:rsid w:val="00184D9B"/>
    <w:pPr>
      <w:widowControl w:val="0"/>
      <w:autoSpaceDE w:val="0"/>
      <w:autoSpaceDN w:val="0"/>
      <w:ind w:left="440"/>
      <w:jc w:val="center"/>
      <w:outlineLvl w:val="0"/>
    </w:pPr>
    <w:rPr>
      <w:rFonts w:ascii="Arial" w:eastAsia="Arial" w:hAnsi="Arial" w:cs="Arial"/>
      <w:b/>
      <w:bCs/>
      <w:sz w:val="24"/>
      <w:szCs w:val="24"/>
    </w:rPr>
  </w:style>
  <w:style w:type="paragraph" w:styleId="Heading2">
    <w:name w:val="heading 2"/>
    <w:basedOn w:val="Normal"/>
    <w:next w:val="Normal"/>
    <w:link w:val="Heading2Char"/>
    <w:uiPriority w:val="9"/>
    <w:unhideWhenUsed/>
    <w:qFormat/>
    <w:rsid w:val="00184D9B"/>
    <w:pPr>
      <w:keepNext/>
      <w:keepLines/>
      <w:spacing w:before="40" w:line="259" w:lineRule="auto"/>
      <w:jc w:val="left"/>
      <w:outlineLvl w:val="1"/>
    </w:pPr>
    <w:rPr>
      <w:rFonts w:asciiTheme="majorHAnsi" w:eastAsiaTheme="majorEastAsia" w:hAnsiTheme="majorHAnsi" w:cstheme="majorBidi"/>
      <w:color w:val="2E74B5" w:themeColor="accent1" w:themeShade="BF"/>
      <w:sz w:val="26"/>
      <w:szCs w:val="26"/>
      <w:lang w:val="en-PH"/>
    </w:rPr>
  </w:style>
  <w:style w:type="paragraph" w:styleId="Heading3">
    <w:name w:val="heading 3"/>
    <w:basedOn w:val="Normal"/>
    <w:next w:val="Normal"/>
    <w:link w:val="Heading3Char"/>
    <w:uiPriority w:val="9"/>
    <w:unhideWhenUsed/>
    <w:qFormat/>
    <w:rsid w:val="00184D9B"/>
    <w:pPr>
      <w:keepNext/>
      <w:keepLines/>
      <w:spacing w:before="40" w:line="259" w:lineRule="auto"/>
      <w:jc w:val="left"/>
      <w:outlineLvl w:val="2"/>
    </w:pPr>
    <w:rPr>
      <w:rFonts w:asciiTheme="majorHAnsi" w:eastAsiaTheme="majorEastAsia" w:hAnsiTheme="majorHAnsi" w:cstheme="majorBidi"/>
      <w:color w:val="1F4D78" w:themeColor="accent1" w:themeShade="7F"/>
      <w:sz w:val="24"/>
      <w:szCs w:val="24"/>
      <w:lang w:val="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11F8A"/>
    <w:pPr>
      <w:spacing w:after="0" w:line="240" w:lineRule="auto"/>
      <w:jc w:val="both"/>
    </w:pPr>
    <w:rPr>
      <w:lang w:val="en-US"/>
    </w:rPr>
  </w:style>
  <w:style w:type="character" w:customStyle="1" w:styleId="NoSpacingChar">
    <w:name w:val="No Spacing Char"/>
    <w:link w:val="NoSpacing"/>
    <w:uiPriority w:val="1"/>
    <w:qFormat/>
    <w:rsid w:val="00511F8A"/>
    <w:rPr>
      <w:lang w:val="en-US"/>
    </w:rPr>
  </w:style>
  <w:style w:type="character" w:customStyle="1" w:styleId="MediumGrid2Char">
    <w:name w:val="Medium Grid 2 Char"/>
    <w:link w:val="MediumGrid2"/>
    <w:uiPriority w:val="1"/>
    <w:rsid w:val="00511F8A"/>
    <w:rPr>
      <w:sz w:val="22"/>
      <w:szCs w:val="22"/>
      <w:lang w:val="en-US" w:eastAsia="en-US" w:bidi="ar-SA"/>
    </w:rPr>
  </w:style>
  <w:style w:type="table" w:styleId="MediumGrid2">
    <w:name w:val="Medium Grid 2"/>
    <w:basedOn w:val="TableNormal"/>
    <w:link w:val="MediumGrid2Char"/>
    <w:uiPriority w:val="1"/>
    <w:semiHidden/>
    <w:unhideWhenUsed/>
    <w:rsid w:val="00511F8A"/>
    <w:pPr>
      <w:spacing w:after="0" w:line="240" w:lineRule="auto"/>
    </w:pPr>
    <w:rPr>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Header">
    <w:name w:val="header"/>
    <w:basedOn w:val="Normal"/>
    <w:link w:val="HeaderChar"/>
    <w:uiPriority w:val="99"/>
    <w:unhideWhenUsed/>
    <w:rsid w:val="008235E2"/>
    <w:pPr>
      <w:tabs>
        <w:tab w:val="center" w:pos="4680"/>
        <w:tab w:val="right" w:pos="9360"/>
      </w:tabs>
    </w:pPr>
  </w:style>
  <w:style w:type="character" w:customStyle="1" w:styleId="HeaderChar">
    <w:name w:val="Header Char"/>
    <w:basedOn w:val="DefaultParagraphFont"/>
    <w:link w:val="Header"/>
    <w:uiPriority w:val="99"/>
    <w:rsid w:val="008235E2"/>
    <w:rPr>
      <w:lang w:val="en-US"/>
    </w:rPr>
  </w:style>
  <w:style w:type="paragraph" w:styleId="Footer">
    <w:name w:val="footer"/>
    <w:basedOn w:val="Normal"/>
    <w:link w:val="FooterChar"/>
    <w:uiPriority w:val="99"/>
    <w:unhideWhenUsed/>
    <w:rsid w:val="008235E2"/>
    <w:pPr>
      <w:tabs>
        <w:tab w:val="center" w:pos="4680"/>
        <w:tab w:val="right" w:pos="9360"/>
      </w:tabs>
    </w:pPr>
  </w:style>
  <w:style w:type="character" w:customStyle="1" w:styleId="FooterChar">
    <w:name w:val="Footer Char"/>
    <w:basedOn w:val="DefaultParagraphFont"/>
    <w:link w:val="Footer"/>
    <w:uiPriority w:val="99"/>
    <w:rsid w:val="008235E2"/>
    <w:rPr>
      <w:lang w:val="en-US"/>
    </w:rPr>
  </w:style>
  <w:style w:type="paragraph" w:styleId="BalloonText">
    <w:name w:val="Balloon Text"/>
    <w:basedOn w:val="Normal"/>
    <w:link w:val="BalloonTextChar"/>
    <w:uiPriority w:val="99"/>
    <w:semiHidden/>
    <w:unhideWhenUsed/>
    <w:rsid w:val="00823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5E2"/>
    <w:rPr>
      <w:rFonts w:ascii="Segoe UI" w:hAnsi="Segoe UI" w:cs="Segoe UI"/>
      <w:sz w:val="18"/>
      <w:szCs w:val="18"/>
      <w:lang w:val="en-US"/>
    </w:rPr>
  </w:style>
  <w:style w:type="paragraph" w:customStyle="1" w:styleId="Default">
    <w:name w:val="Default"/>
    <w:rsid w:val="00212ABF"/>
    <w:pPr>
      <w:autoSpaceDE w:val="0"/>
      <w:autoSpaceDN w:val="0"/>
      <w:adjustRightInd w:val="0"/>
      <w:spacing w:after="0" w:line="240" w:lineRule="auto"/>
    </w:pPr>
    <w:rPr>
      <w:rFonts w:ascii="Arial" w:hAnsi="Arial" w:cs="Arial"/>
      <w:color w:val="000000"/>
      <w:sz w:val="24"/>
      <w:szCs w:val="24"/>
      <w:lang w:val="en-US"/>
    </w:rPr>
  </w:style>
  <w:style w:type="paragraph" w:styleId="EndnoteText">
    <w:name w:val="endnote text"/>
    <w:basedOn w:val="Normal"/>
    <w:link w:val="EndnoteTextChar"/>
    <w:uiPriority w:val="99"/>
    <w:semiHidden/>
    <w:unhideWhenUsed/>
    <w:rsid w:val="007E0D97"/>
    <w:rPr>
      <w:sz w:val="20"/>
      <w:szCs w:val="20"/>
    </w:rPr>
  </w:style>
  <w:style w:type="character" w:customStyle="1" w:styleId="EndnoteTextChar">
    <w:name w:val="Endnote Text Char"/>
    <w:basedOn w:val="DefaultParagraphFont"/>
    <w:link w:val="EndnoteText"/>
    <w:uiPriority w:val="99"/>
    <w:semiHidden/>
    <w:rsid w:val="007E0D97"/>
    <w:rPr>
      <w:sz w:val="20"/>
      <w:szCs w:val="20"/>
      <w:lang w:val="en-US"/>
    </w:rPr>
  </w:style>
  <w:style w:type="character" w:styleId="EndnoteReference">
    <w:name w:val="endnote reference"/>
    <w:basedOn w:val="DefaultParagraphFont"/>
    <w:uiPriority w:val="99"/>
    <w:semiHidden/>
    <w:unhideWhenUsed/>
    <w:rsid w:val="007E0D97"/>
    <w:rPr>
      <w:vertAlign w:val="superscript"/>
    </w:rPr>
  </w:style>
  <w:style w:type="character" w:styleId="Hyperlink">
    <w:name w:val="Hyperlink"/>
    <w:basedOn w:val="DefaultParagraphFont"/>
    <w:uiPriority w:val="99"/>
    <w:unhideWhenUsed/>
    <w:rsid w:val="00650886"/>
    <w:rPr>
      <w:color w:val="0563C1" w:themeColor="hyperlink"/>
      <w:u w:val="single"/>
    </w:rPr>
  </w:style>
  <w:style w:type="character" w:customStyle="1" w:styleId="UnresolvedMention1">
    <w:name w:val="Unresolved Mention1"/>
    <w:basedOn w:val="DefaultParagraphFont"/>
    <w:uiPriority w:val="99"/>
    <w:semiHidden/>
    <w:unhideWhenUsed/>
    <w:rsid w:val="00650886"/>
    <w:rPr>
      <w:color w:val="605E5C"/>
      <w:shd w:val="clear" w:color="auto" w:fill="E1DFDD"/>
    </w:rPr>
  </w:style>
  <w:style w:type="paragraph" w:styleId="BodyText">
    <w:name w:val="Body Text"/>
    <w:basedOn w:val="Normal"/>
    <w:link w:val="BodyTextChar"/>
    <w:uiPriority w:val="1"/>
    <w:qFormat/>
    <w:rsid w:val="00456DF4"/>
    <w:pPr>
      <w:widowControl w:val="0"/>
      <w:autoSpaceDE w:val="0"/>
      <w:autoSpaceDN w:val="0"/>
      <w:jc w:val="left"/>
    </w:pPr>
    <w:rPr>
      <w:rFonts w:ascii="Arial" w:eastAsia="Arial" w:hAnsi="Arial" w:cs="Arial"/>
      <w:sz w:val="24"/>
      <w:szCs w:val="24"/>
    </w:rPr>
  </w:style>
  <w:style w:type="character" w:customStyle="1" w:styleId="BodyTextChar">
    <w:name w:val="Body Text Char"/>
    <w:basedOn w:val="DefaultParagraphFont"/>
    <w:link w:val="BodyText"/>
    <w:uiPriority w:val="1"/>
    <w:rsid w:val="00456DF4"/>
    <w:rPr>
      <w:rFonts w:ascii="Arial" w:eastAsia="Arial" w:hAnsi="Arial" w:cs="Arial"/>
      <w:sz w:val="24"/>
      <w:szCs w:val="24"/>
      <w:lang w:val="en-US"/>
    </w:rPr>
  </w:style>
  <w:style w:type="paragraph" w:styleId="NormalWeb">
    <w:name w:val="Normal (Web)"/>
    <w:basedOn w:val="Normal"/>
    <w:uiPriority w:val="99"/>
    <w:unhideWhenUsed/>
    <w:rsid w:val="00463A4B"/>
    <w:pPr>
      <w:spacing w:before="100" w:beforeAutospacing="1" w:after="100" w:afterAutospacing="1"/>
      <w:jc w:val="left"/>
    </w:pPr>
    <w:rPr>
      <w:rFonts w:ascii="Times New Roman" w:eastAsia="Times New Roman" w:hAnsi="Times New Roman" w:cs="Times New Roman"/>
      <w:sz w:val="24"/>
      <w:szCs w:val="24"/>
      <w:lang w:val="en-PH" w:eastAsia="en-PH"/>
    </w:rPr>
  </w:style>
  <w:style w:type="character" w:styleId="Strong">
    <w:name w:val="Strong"/>
    <w:basedOn w:val="DefaultParagraphFont"/>
    <w:uiPriority w:val="22"/>
    <w:qFormat/>
    <w:rsid w:val="00463A4B"/>
    <w:rPr>
      <w:b/>
      <w:bCs/>
    </w:rPr>
  </w:style>
  <w:style w:type="character" w:styleId="Emphasis">
    <w:name w:val="Emphasis"/>
    <w:basedOn w:val="DefaultParagraphFont"/>
    <w:uiPriority w:val="20"/>
    <w:qFormat/>
    <w:rsid w:val="00463A4B"/>
    <w:rPr>
      <w:i/>
      <w:iCs/>
    </w:rPr>
  </w:style>
  <w:style w:type="character" w:customStyle="1" w:styleId="Heading1Char">
    <w:name w:val="Heading 1 Char"/>
    <w:basedOn w:val="DefaultParagraphFont"/>
    <w:link w:val="Heading1"/>
    <w:uiPriority w:val="1"/>
    <w:rsid w:val="00184D9B"/>
    <w:rPr>
      <w:rFonts w:ascii="Arial" w:eastAsia="Arial" w:hAnsi="Arial" w:cs="Arial"/>
      <w:b/>
      <w:bCs/>
      <w:sz w:val="24"/>
      <w:szCs w:val="24"/>
      <w:lang w:val="en-US"/>
    </w:rPr>
  </w:style>
  <w:style w:type="character" w:customStyle="1" w:styleId="Heading2Char">
    <w:name w:val="Heading 2 Char"/>
    <w:basedOn w:val="DefaultParagraphFont"/>
    <w:link w:val="Heading2"/>
    <w:uiPriority w:val="9"/>
    <w:rsid w:val="00184D9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84D9B"/>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184D9B"/>
    <w:pPr>
      <w:spacing w:after="200" w:line="276" w:lineRule="auto"/>
      <w:ind w:left="720"/>
      <w:contextualSpacing/>
      <w:jc w:val="left"/>
    </w:pPr>
    <w:rPr>
      <w:lang w:val="en-PH"/>
    </w:rPr>
  </w:style>
  <w:style w:type="table" w:customStyle="1" w:styleId="LightShading1">
    <w:name w:val="Light Shading1"/>
    <w:basedOn w:val="TableNormal"/>
    <w:uiPriority w:val="60"/>
    <w:qFormat/>
    <w:rsid w:val="00184D9B"/>
    <w:pPr>
      <w:spacing w:after="0" w:line="240" w:lineRule="auto"/>
    </w:pPr>
    <w:rPr>
      <w:rFonts w:ascii="Times New Roman" w:eastAsia="Times New Roman" w:hAnsi="Times New Roman" w:cs="Times New Roman"/>
      <w:color w:val="000000"/>
      <w:sz w:val="20"/>
      <w:szCs w:val="20"/>
      <w:lang w:val="en-US" w:eastAsia="en-PH"/>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39"/>
    <w:rsid w:val="00184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urnaltitle">
    <w:name w:val="journaltitle"/>
    <w:basedOn w:val="DefaultParagraphFont"/>
    <w:rsid w:val="00184D9B"/>
  </w:style>
  <w:style w:type="character" w:customStyle="1" w:styleId="capitalize">
    <w:name w:val="capitalize"/>
    <w:basedOn w:val="DefaultParagraphFont"/>
    <w:rsid w:val="00184D9B"/>
  </w:style>
  <w:style w:type="character" w:customStyle="1" w:styleId="italic">
    <w:name w:val="italic"/>
    <w:basedOn w:val="DefaultParagraphFont"/>
    <w:rsid w:val="00184D9B"/>
  </w:style>
  <w:style w:type="character" w:styleId="FollowedHyperlink">
    <w:name w:val="FollowedHyperlink"/>
    <w:basedOn w:val="DefaultParagraphFont"/>
    <w:uiPriority w:val="99"/>
    <w:semiHidden/>
    <w:unhideWhenUsed/>
    <w:rsid w:val="00184D9B"/>
    <w:rPr>
      <w:color w:val="954F72" w:themeColor="followedHyperlink"/>
      <w:u w:val="single"/>
    </w:rPr>
  </w:style>
  <w:style w:type="character" w:customStyle="1" w:styleId="show-for-sr">
    <w:name w:val="show-for-sr"/>
    <w:basedOn w:val="DefaultParagraphFont"/>
    <w:rsid w:val="00184D9B"/>
  </w:style>
  <w:style w:type="character" w:styleId="UnresolvedMention">
    <w:name w:val="Unresolved Mention"/>
    <w:basedOn w:val="DefaultParagraphFont"/>
    <w:uiPriority w:val="99"/>
    <w:semiHidden/>
    <w:unhideWhenUsed/>
    <w:rsid w:val="00184D9B"/>
    <w:rPr>
      <w:color w:val="605E5C"/>
      <w:shd w:val="clear" w:color="auto" w:fill="E1DFDD"/>
    </w:rPr>
  </w:style>
  <w:style w:type="paragraph" w:customStyle="1" w:styleId="TableParagraph">
    <w:name w:val="Table Paragraph"/>
    <w:basedOn w:val="Normal"/>
    <w:uiPriority w:val="1"/>
    <w:qFormat/>
    <w:rsid w:val="00184D9B"/>
    <w:pPr>
      <w:widowControl w:val="0"/>
      <w:autoSpaceDE w:val="0"/>
      <w:autoSpaceDN w:val="0"/>
      <w:jc w:val="left"/>
    </w:pPr>
    <w:rPr>
      <w:rFonts w:ascii="Microsoft Sans Serif" w:eastAsia="Microsoft Sans Serif" w:hAnsi="Microsoft Sans Serif" w:cs="Microsoft Sans Serif"/>
    </w:rPr>
  </w:style>
  <w:style w:type="character" w:customStyle="1" w:styleId="s2">
    <w:name w:val="s2"/>
    <w:basedOn w:val="DefaultParagraphFont"/>
    <w:rsid w:val="00F17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261">
      <w:bodyDiv w:val="1"/>
      <w:marLeft w:val="0"/>
      <w:marRight w:val="0"/>
      <w:marTop w:val="0"/>
      <w:marBottom w:val="0"/>
      <w:divBdr>
        <w:top w:val="none" w:sz="0" w:space="0" w:color="auto"/>
        <w:left w:val="none" w:sz="0" w:space="0" w:color="auto"/>
        <w:bottom w:val="none" w:sz="0" w:space="0" w:color="auto"/>
        <w:right w:val="none" w:sz="0" w:space="0" w:color="auto"/>
      </w:divBdr>
    </w:div>
    <w:div w:id="55326820">
      <w:bodyDiv w:val="1"/>
      <w:marLeft w:val="0"/>
      <w:marRight w:val="0"/>
      <w:marTop w:val="0"/>
      <w:marBottom w:val="0"/>
      <w:divBdr>
        <w:top w:val="none" w:sz="0" w:space="0" w:color="auto"/>
        <w:left w:val="none" w:sz="0" w:space="0" w:color="auto"/>
        <w:bottom w:val="none" w:sz="0" w:space="0" w:color="auto"/>
        <w:right w:val="none" w:sz="0" w:space="0" w:color="auto"/>
      </w:divBdr>
    </w:div>
    <w:div w:id="91123742">
      <w:bodyDiv w:val="1"/>
      <w:marLeft w:val="0"/>
      <w:marRight w:val="0"/>
      <w:marTop w:val="0"/>
      <w:marBottom w:val="0"/>
      <w:divBdr>
        <w:top w:val="none" w:sz="0" w:space="0" w:color="auto"/>
        <w:left w:val="none" w:sz="0" w:space="0" w:color="auto"/>
        <w:bottom w:val="none" w:sz="0" w:space="0" w:color="auto"/>
        <w:right w:val="none" w:sz="0" w:space="0" w:color="auto"/>
      </w:divBdr>
    </w:div>
    <w:div w:id="121464010">
      <w:bodyDiv w:val="1"/>
      <w:marLeft w:val="0"/>
      <w:marRight w:val="0"/>
      <w:marTop w:val="0"/>
      <w:marBottom w:val="0"/>
      <w:divBdr>
        <w:top w:val="none" w:sz="0" w:space="0" w:color="auto"/>
        <w:left w:val="none" w:sz="0" w:space="0" w:color="auto"/>
        <w:bottom w:val="none" w:sz="0" w:space="0" w:color="auto"/>
        <w:right w:val="none" w:sz="0" w:space="0" w:color="auto"/>
      </w:divBdr>
    </w:div>
    <w:div w:id="141774364">
      <w:bodyDiv w:val="1"/>
      <w:marLeft w:val="0"/>
      <w:marRight w:val="0"/>
      <w:marTop w:val="0"/>
      <w:marBottom w:val="0"/>
      <w:divBdr>
        <w:top w:val="none" w:sz="0" w:space="0" w:color="auto"/>
        <w:left w:val="none" w:sz="0" w:space="0" w:color="auto"/>
        <w:bottom w:val="none" w:sz="0" w:space="0" w:color="auto"/>
        <w:right w:val="none" w:sz="0" w:space="0" w:color="auto"/>
      </w:divBdr>
    </w:div>
    <w:div w:id="166016925">
      <w:bodyDiv w:val="1"/>
      <w:marLeft w:val="0"/>
      <w:marRight w:val="0"/>
      <w:marTop w:val="0"/>
      <w:marBottom w:val="0"/>
      <w:divBdr>
        <w:top w:val="none" w:sz="0" w:space="0" w:color="auto"/>
        <w:left w:val="none" w:sz="0" w:space="0" w:color="auto"/>
        <w:bottom w:val="none" w:sz="0" w:space="0" w:color="auto"/>
        <w:right w:val="none" w:sz="0" w:space="0" w:color="auto"/>
      </w:divBdr>
    </w:div>
    <w:div w:id="181749276">
      <w:bodyDiv w:val="1"/>
      <w:marLeft w:val="0"/>
      <w:marRight w:val="0"/>
      <w:marTop w:val="0"/>
      <w:marBottom w:val="0"/>
      <w:divBdr>
        <w:top w:val="none" w:sz="0" w:space="0" w:color="auto"/>
        <w:left w:val="none" w:sz="0" w:space="0" w:color="auto"/>
        <w:bottom w:val="none" w:sz="0" w:space="0" w:color="auto"/>
        <w:right w:val="none" w:sz="0" w:space="0" w:color="auto"/>
      </w:divBdr>
      <w:divsChild>
        <w:div w:id="1358892777">
          <w:marLeft w:val="0"/>
          <w:marRight w:val="0"/>
          <w:marTop w:val="0"/>
          <w:marBottom w:val="0"/>
          <w:divBdr>
            <w:top w:val="none" w:sz="0" w:space="0" w:color="auto"/>
            <w:left w:val="none" w:sz="0" w:space="0" w:color="auto"/>
            <w:bottom w:val="none" w:sz="0" w:space="0" w:color="auto"/>
            <w:right w:val="none" w:sz="0" w:space="0" w:color="auto"/>
          </w:divBdr>
          <w:divsChild>
            <w:div w:id="170334442">
              <w:marLeft w:val="0"/>
              <w:marRight w:val="0"/>
              <w:marTop w:val="0"/>
              <w:marBottom w:val="0"/>
              <w:divBdr>
                <w:top w:val="none" w:sz="0" w:space="0" w:color="auto"/>
                <w:left w:val="none" w:sz="0" w:space="0" w:color="auto"/>
                <w:bottom w:val="none" w:sz="0" w:space="0" w:color="auto"/>
                <w:right w:val="none" w:sz="0" w:space="0" w:color="auto"/>
              </w:divBdr>
              <w:divsChild>
                <w:div w:id="1618489918">
                  <w:marLeft w:val="0"/>
                  <w:marRight w:val="0"/>
                  <w:marTop w:val="0"/>
                  <w:marBottom w:val="0"/>
                  <w:divBdr>
                    <w:top w:val="none" w:sz="0" w:space="0" w:color="auto"/>
                    <w:left w:val="none" w:sz="0" w:space="0" w:color="auto"/>
                    <w:bottom w:val="none" w:sz="0" w:space="0" w:color="auto"/>
                    <w:right w:val="none" w:sz="0" w:space="0" w:color="auto"/>
                  </w:divBdr>
                  <w:divsChild>
                    <w:div w:id="1062748561">
                      <w:marLeft w:val="0"/>
                      <w:marRight w:val="0"/>
                      <w:marTop w:val="0"/>
                      <w:marBottom w:val="0"/>
                      <w:divBdr>
                        <w:top w:val="none" w:sz="0" w:space="0" w:color="auto"/>
                        <w:left w:val="none" w:sz="0" w:space="0" w:color="auto"/>
                        <w:bottom w:val="none" w:sz="0" w:space="0" w:color="auto"/>
                        <w:right w:val="none" w:sz="0" w:space="0" w:color="auto"/>
                      </w:divBdr>
                      <w:divsChild>
                        <w:div w:id="1380282211">
                          <w:marLeft w:val="0"/>
                          <w:marRight w:val="0"/>
                          <w:marTop w:val="0"/>
                          <w:marBottom w:val="0"/>
                          <w:divBdr>
                            <w:top w:val="none" w:sz="0" w:space="0" w:color="auto"/>
                            <w:left w:val="none" w:sz="0" w:space="0" w:color="auto"/>
                            <w:bottom w:val="none" w:sz="0" w:space="0" w:color="auto"/>
                            <w:right w:val="none" w:sz="0" w:space="0" w:color="auto"/>
                          </w:divBdr>
                          <w:divsChild>
                            <w:div w:id="1450707864">
                              <w:marLeft w:val="0"/>
                              <w:marRight w:val="0"/>
                              <w:marTop w:val="0"/>
                              <w:marBottom w:val="0"/>
                              <w:divBdr>
                                <w:top w:val="none" w:sz="0" w:space="0" w:color="auto"/>
                                <w:left w:val="none" w:sz="0" w:space="0" w:color="auto"/>
                                <w:bottom w:val="none" w:sz="0" w:space="0" w:color="auto"/>
                                <w:right w:val="none" w:sz="0" w:space="0" w:color="auto"/>
                              </w:divBdr>
                              <w:divsChild>
                                <w:div w:id="977223616">
                                  <w:marLeft w:val="0"/>
                                  <w:marRight w:val="0"/>
                                  <w:marTop w:val="0"/>
                                  <w:marBottom w:val="0"/>
                                  <w:divBdr>
                                    <w:top w:val="none" w:sz="0" w:space="0" w:color="auto"/>
                                    <w:left w:val="none" w:sz="0" w:space="0" w:color="auto"/>
                                    <w:bottom w:val="none" w:sz="0" w:space="0" w:color="auto"/>
                                    <w:right w:val="none" w:sz="0" w:space="0" w:color="auto"/>
                                  </w:divBdr>
                                  <w:divsChild>
                                    <w:div w:id="66528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33835">
      <w:bodyDiv w:val="1"/>
      <w:marLeft w:val="0"/>
      <w:marRight w:val="0"/>
      <w:marTop w:val="0"/>
      <w:marBottom w:val="0"/>
      <w:divBdr>
        <w:top w:val="none" w:sz="0" w:space="0" w:color="auto"/>
        <w:left w:val="none" w:sz="0" w:space="0" w:color="auto"/>
        <w:bottom w:val="none" w:sz="0" w:space="0" w:color="auto"/>
        <w:right w:val="none" w:sz="0" w:space="0" w:color="auto"/>
      </w:divBdr>
    </w:div>
    <w:div w:id="225998261">
      <w:bodyDiv w:val="1"/>
      <w:marLeft w:val="0"/>
      <w:marRight w:val="0"/>
      <w:marTop w:val="0"/>
      <w:marBottom w:val="0"/>
      <w:divBdr>
        <w:top w:val="none" w:sz="0" w:space="0" w:color="auto"/>
        <w:left w:val="none" w:sz="0" w:space="0" w:color="auto"/>
        <w:bottom w:val="none" w:sz="0" w:space="0" w:color="auto"/>
        <w:right w:val="none" w:sz="0" w:space="0" w:color="auto"/>
      </w:divBdr>
    </w:div>
    <w:div w:id="229734444">
      <w:bodyDiv w:val="1"/>
      <w:marLeft w:val="0"/>
      <w:marRight w:val="0"/>
      <w:marTop w:val="0"/>
      <w:marBottom w:val="0"/>
      <w:divBdr>
        <w:top w:val="none" w:sz="0" w:space="0" w:color="auto"/>
        <w:left w:val="none" w:sz="0" w:space="0" w:color="auto"/>
        <w:bottom w:val="none" w:sz="0" w:space="0" w:color="auto"/>
        <w:right w:val="none" w:sz="0" w:space="0" w:color="auto"/>
      </w:divBdr>
    </w:div>
    <w:div w:id="260912878">
      <w:bodyDiv w:val="1"/>
      <w:marLeft w:val="0"/>
      <w:marRight w:val="0"/>
      <w:marTop w:val="0"/>
      <w:marBottom w:val="0"/>
      <w:divBdr>
        <w:top w:val="none" w:sz="0" w:space="0" w:color="auto"/>
        <w:left w:val="none" w:sz="0" w:space="0" w:color="auto"/>
        <w:bottom w:val="none" w:sz="0" w:space="0" w:color="auto"/>
        <w:right w:val="none" w:sz="0" w:space="0" w:color="auto"/>
      </w:divBdr>
    </w:div>
    <w:div w:id="526530241">
      <w:bodyDiv w:val="1"/>
      <w:marLeft w:val="0"/>
      <w:marRight w:val="0"/>
      <w:marTop w:val="0"/>
      <w:marBottom w:val="0"/>
      <w:divBdr>
        <w:top w:val="none" w:sz="0" w:space="0" w:color="auto"/>
        <w:left w:val="none" w:sz="0" w:space="0" w:color="auto"/>
        <w:bottom w:val="none" w:sz="0" w:space="0" w:color="auto"/>
        <w:right w:val="none" w:sz="0" w:space="0" w:color="auto"/>
      </w:divBdr>
      <w:divsChild>
        <w:div w:id="1613392127">
          <w:marLeft w:val="0"/>
          <w:marRight w:val="0"/>
          <w:marTop w:val="0"/>
          <w:marBottom w:val="0"/>
          <w:divBdr>
            <w:top w:val="none" w:sz="0" w:space="0" w:color="auto"/>
            <w:left w:val="none" w:sz="0" w:space="0" w:color="auto"/>
            <w:bottom w:val="none" w:sz="0" w:space="0" w:color="auto"/>
            <w:right w:val="none" w:sz="0" w:space="0" w:color="auto"/>
          </w:divBdr>
          <w:divsChild>
            <w:div w:id="1297874956">
              <w:marLeft w:val="0"/>
              <w:marRight w:val="0"/>
              <w:marTop w:val="0"/>
              <w:marBottom w:val="0"/>
              <w:divBdr>
                <w:top w:val="none" w:sz="0" w:space="0" w:color="auto"/>
                <w:left w:val="none" w:sz="0" w:space="0" w:color="auto"/>
                <w:bottom w:val="none" w:sz="0" w:space="0" w:color="auto"/>
                <w:right w:val="none" w:sz="0" w:space="0" w:color="auto"/>
              </w:divBdr>
              <w:divsChild>
                <w:div w:id="1329866573">
                  <w:marLeft w:val="0"/>
                  <w:marRight w:val="0"/>
                  <w:marTop w:val="0"/>
                  <w:marBottom w:val="0"/>
                  <w:divBdr>
                    <w:top w:val="none" w:sz="0" w:space="0" w:color="auto"/>
                    <w:left w:val="none" w:sz="0" w:space="0" w:color="auto"/>
                    <w:bottom w:val="none" w:sz="0" w:space="0" w:color="auto"/>
                    <w:right w:val="none" w:sz="0" w:space="0" w:color="auto"/>
                  </w:divBdr>
                  <w:divsChild>
                    <w:div w:id="1149782463">
                      <w:marLeft w:val="0"/>
                      <w:marRight w:val="0"/>
                      <w:marTop w:val="0"/>
                      <w:marBottom w:val="0"/>
                      <w:divBdr>
                        <w:top w:val="none" w:sz="0" w:space="0" w:color="auto"/>
                        <w:left w:val="none" w:sz="0" w:space="0" w:color="auto"/>
                        <w:bottom w:val="none" w:sz="0" w:space="0" w:color="auto"/>
                        <w:right w:val="none" w:sz="0" w:space="0" w:color="auto"/>
                      </w:divBdr>
                      <w:divsChild>
                        <w:div w:id="1426732564">
                          <w:marLeft w:val="0"/>
                          <w:marRight w:val="0"/>
                          <w:marTop w:val="0"/>
                          <w:marBottom w:val="0"/>
                          <w:divBdr>
                            <w:top w:val="none" w:sz="0" w:space="0" w:color="auto"/>
                            <w:left w:val="none" w:sz="0" w:space="0" w:color="auto"/>
                            <w:bottom w:val="none" w:sz="0" w:space="0" w:color="auto"/>
                            <w:right w:val="none" w:sz="0" w:space="0" w:color="auto"/>
                          </w:divBdr>
                          <w:divsChild>
                            <w:div w:id="1051150206">
                              <w:marLeft w:val="0"/>
                              <w:marRight w:val="0"/>
                              <w:marTop w:val="0"/>
                              <w:marBottom w:val="0"/>
                              <w:divBdr>
                                <w:top w:val="none" w:sz="0" w:space="0" w:color="auto"/>
                                <w:left w:val="none" w:sz="0" w:space="0" w:color="auto"/>
                                <w:bottom w:val="none" w:sz="0" w:space="0" w:color="auto"/>
                                <w:right w:val="none" w:sz="0" w:space="0" w:color="auto"/>
                              </w:divBdr>
                              <w:divsChild>
                                <w:div w:id="2050321">
                                  <w:marLeft w:val="0"/>
                                  <w:marRight w:val="0"/>
                                  <w:marTop w:val="0"/>
                                  <w:marBottom w:val="0"/>
                                  <w:divBdr>
                                    <w:top w:val="none" w:sz="0" w:space="0" w:color="auto"/>
                                    <w:left w:val="none" w:sz="0" w:space="0" w:color="auto"/>
                                    <w:bottom w:val="none" w:sz="0" w:space="0" w:color="auto"/>
                                    <w:right w:val="none" w:sz="0" w:space="0" w:color="auto"/>
                                  </w:divBdr>
                                  <w:divsChild>
                                    <w:div w:id="173057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3556120">
      <w:bodyDiv w:val="1"/>
      <w:marLeft w:val="0"/>
      <w:marRight w:val="0"/>
      <w:marTop w:val="0"/>
      <w:marBottom w:val="0"/>
      <w:divBdr>
        <w:top w:val="none" w:sz="0" w:space="0" w:color="auto"/>
        <w:left w:val="none" w:sz="0" w:space="0" w:color="auto"/>
        <w:bottom w:val="none" w:sz="0" w:space="0" w:color="auto"/>
        <w:right w:val="none" w:sz="0" w:space="0" w:color="auto"/>
      </w:divBdr>
    </w:div>
    <w:div w:id="724985754">
      <w:bodyDiv w:val="1"/>
      <w:marLeft w:val="0"/>
      <w:marRight w:val="0"/>
      <w:marTop w:val="0"/>
      <w:marBottom w:val="0"/>
      <w:divBdr>
        <w:top w:val="none" w:sz="0" w:space="0" w:color="auto"/>
        <w:left w:val="none" w:sz="0" w:space="0" w:color="auto"/>
        <w:bottom w:val="none" w:sz="0" w:space="0" w:color="auto"/>
        <w:right w:val="none" w:sz="0" w:space="0" w:color="auto"/>
      </w:divBdr>
    </w:div>
    <w:div w:id="735057835">
      <w:bodyDiv w:val="1"/>
      <w:marLeft w:val="0"/>
      <w:marRight w:val="0"/>
      <w:marTop w:val="0"/>
      <w:marBottom w:val="0"/>
      <w:divBdr>
        <w:top w:val="none" w:sz="0" w:space="0" w:color="auto"/>
        <w:left w:val="none" w:sz="0" w:space="0" w:color="auto"/>
        <w:bottom w:val="none" w:sz="0" w:space="0" w:color="auto"/>
        <w:right w:val="none" w:sz="0" w:space="0" w:color="auto"/>
      </w:divBdr>
    </w:div>
    <w:div w:id="924612406">
      <w:bodyDiv w:val="1"/>
      <w:marLeft w:val="0"/>
      <w:marRight w:val="0"/>
      <w:marTop w:val="0"/>
      <w:marBottom w:val="0"/>
      <w:divBdr>
        <w:top w:val="none" w:sz="0" w:space="0" w:color="auto"/>
        <w:left w:val="none" w:sz="0" w:space="0" w:color="auto"/>
        <w:bottom w:val="none" w:sz="0" w:space="0" w:color="auto"/>
        <w:right w:val="none" w:sz="0" w:space="0" w:color="auto"/>
      </w:divBdr>
    </w:div>
    <w:div w:id="972515528">
      <w:bodyDiv w:val="1"/>
      <w:marLeft w:val="0"/>
      <w:marRight w:val="0"/>
      <w:marTop w:val="0"/>
      <w:marBottom w:val="0"/>
      <w:divBdr>
        <w:top w:val="none" w:sz="0" w:space="0" w:color="auto"/>
        <w:left w:val="none" w:sz="0" w:space="0" w:color="auto"/>
        <w:bottom w:val="none" w:sz="0" w:space="0" w:color="auto"/>
        <w:right w:val="none" w:sz="0" w:space="0" w:color="auto"/>
      </w:divBdr>
    </w:div>
    <w:div w:id="1009910533">
      <w:bodyDiv w:val="1"/>
      <w:marLeft w:val="0"/>
      <w:marRight w:val="0"/>
      <w:marTop w:val="0"/>
      <w:marBottom w:val="0"/>
      <w:divBdr>
        <w:top w:val="none" w:sz="0" w:space="0" w:color="auto"/>
        <w:left w:val="none" w:sz="0" w:space="0" w:color="auto"/>
        <w:bottom w:val="none" w:sz="0" w:space="0" w:color="auto"/>
        <w:right w:val="none" w:sz="0" w:space="0" w:color="auto"/>
      </w:divBdr>
      <w:divsChild>
        <w:div w:id="1158350686">
          <w:marLeft w:val="0"/>
          <w:marRight w:val="0"/>
          <w:marTop w:val="0"/>
          <w:marBottom w:val="0"/>
          <w:divBdr>
            <w:top w:val="none" w:sz="0" w:space="0" w:color="auto"/>
            <w:left w:val="none" w:sz="0" w:space="0" w:color="auto"/>
            <w:bottom w:val="none" w:sz="0" w:space="0" w:color="auto"/>
            <w:right w:val="none" w:sz="0" w:space="0" w:color="auto"/>
          </w:divBdr>
          <w:divsChild>
            <w:div w:id="1188715325">
              <w:marLeft w:val="0"/>
              <w:marRight w:val="0"/>
              <w:marTop w:val="0"/>
              <w:marBottom w:val="0"/>
              <w:divBdr>
                <w:top w:val="none" w:sz="0" w:space="0" w:color="auto"/>
                <w:left w:val="none" w:sz="0" w:space="0" w:color="auto"/>
                <w:bottom w:val="none" w:sz="0" w:space="0" w:color="auto"/>
                <w:right w:val="none" w:sz="0" w:space="0" w:color="auto"/>
              </w:divBdr>
              <w:divsChild>
                <w:div w:id="1664506041">
                  <w:marLeft w:val="0"/>
                  <w:marRight w:val="0"/>
                  <w:marTop w:val="0"/>
                  <w:marBottom w:val="0"/>
                  <w:divBdr>
                    <w:top w:val="none" w:sz="0" w:space="0" w:color="auto"/>
                    <w:left w:val="none" w:sz="0" w:space="0" w:color="auto"/>
                    <w:bottom w:val="none" w:sz="0" w:space="0" w:color="auto"/>
                    <w:right w:val="none" w:sz="0" w:space="0" w:color="auto"/>
                  </w:divBdr>
                  <w:divsChild>
                    <w:div w:id="1381125818">
                      <w:marLeft w:val="0"/>
                      <w:marRight w:val="0"/>
                      <w:marTop w:val="0"/>
                      <w:marBottom w:val="0"/>
                      <w:divBdr>
                        <w:top w:val="none" w:sz="0" w:space="0" w:color="auto"/>
                        <w:left w:val="none" w:sz="0" w:space="0" w:color="auto"/>
                        <w:bottom w:val="none" w:sz="0" w:space="0" w:color="auto"/>
                        <w:right w:val="none" w:sz="0" w:space="0" w:color="auto"/>
                      </w:divBdr>
                      <w:divsChild>
                        <w:div w:id="926615898">
                          <w:marLeft w:val="0"/>
                          <w:marRight w:val="0"/>
                          <w:marTop w:val="0"/>
                          <w:marBottom w:val="0"/>
                          <w:divBdr>
                            <w:top w:val="none" w:sz="0" w:space="0" w:color="auto"/>
                            <w:left w:val="none" w:sz="0" w:space="0" w:color="auto"/>
                            <w:bottom w:val="none" w:sz="0" w:space="0" w:color="auto"/>
                            <w:right w:val="none" w:sz="0" w:space="0" w:color="auto"/>
                          </w:divBdr>
                          <w:divsChild>
                            <w:div w:id="1470053545">
                              <w:marLeft w:val="0"/>
                              <w:marRight w:val="0"/>
                              <w:marTop w:val="0"/>
                              <w:marBottom w:val="0"/>
                              <w:divBdr>
                                <w:top w:val="none" w:sz="0" w:space="0" w:color="auto"/>
                                <w:left w:val="none" w:sz="0" w:space="0" w:color="auto"/>
                                <w:bottom w:val="none" w:sz="0" w:space="0" w:color="auto"/>
                                <w:right w:val="none" w:sz="0" w:space="0" w:color="auto"/>
                              </w:divBdr>
                              <w:divsChild>
                                <w:div w:id="462508016">
                                  <w:marLeft w:val="0"/>
                                  <w:marRight w:val="0"/>
                                  <w:marTop w:val="0"/>
                                  <w:marBottom w:val="0"/>
                                  <w:divBdr>
                                    <w:top w:val="none" w:sz="0" w:space="0" w:color="auto"/>
                                    <w:left w:val="none" w:sz="0" w:space="0" w:color="auto"/>
                                    <w:bottom w:val="none" w:sz="0" w:space="0" w:color="auto"/>
                                    <w:right w:val="none" w:sz="0" w:space="0" w:color="auto"/>
                                  </w:divBdr>
                                  <w:divsChild>
                                    <w:div w:id="7453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0663151">
      <w:bodyDiv w:val="1"/>
      <w:marLeft w:val="0"/>
      <w:marRight w:val="0"/>
      <w:marTop w:val="0"/>
      <w:marBottom w:val="0"/>
      <w:divBdr>
        <w:top w:val="none" w:sz="0" w:space="0" w:color="auto"/>
        <w:left w:val="none" w:sz="0" w:space="0" w:color="auto"/>
        <w:bottom w:val="none" w:sz="0" w:space="0" w:color="auto"/>
        <w:right w:val="none" w:sz="0" w:space="0" w:color="auto"/>
      </w:divBdr>
    </w:div>
    <w:div w:id="1143036288">
      <w:bodyDiv w:val="1"/>
      <w:marLeft w:val="0"/>
      <w:marRight w:val="0"/>
      <w:marTop w:val="0"/>
      <w:marBottom w:val="0"/>
      <w:divBdr>
        <w:top w:val="none" w:sz="0" w:space="0" w:color="auto"/>
        <w:left w:val="none" w:sz="0" w:space="0" w:color="auto"/>
        <w:bottom w:val="none" w:sz="0" w:space="0" w:color="auto"/>
        <w:right w:val="none" w:sz="0" w:space="0" w:color="auto"/>
      </w:divBdr>
    </w:div>
    <w:div w:id="1260792213">
      <w:bodyDiv w:val="1"/>
      <w:marLeft w:val="0"/>
      <w:marRight w:val="0"/>
      <w:marTop w:val="0"/>
      <w:marBottom w:val="0"/>
      <w:divBdr>
        <w:top w:val="none" w:sz="0" w:space="0" w:color="auto"/>
        <w:left w:val="none" w:sz="0" w:space="0" w:color="auto"/>
        <w:bottom w:val="none" w:sz="0" w:space="0" w:color="auto"/>
        <w:right w:val="none" w:sz="0" w:space="0" w:color="auto"/>
      </w:divBdr>
    </w:div>
    <w:div w:id="1302804458">
      <w:bodyDiv w:val="1"/>
      <w:marLeft w:val="0"/>
      <w:marRight w:val="0"/>
      <w:marTop w:val="0"/>
      <w:marBottom w:val="0"/>
      <w:divBdr>
        <w:top w:val="none" w:sz="0" w:space="0" w:color="auto"/>
        <w:left w:val="none" w:sz="0" w:space="0" w:color="auto"/>
        <w:bottom w:val="none" w:sz="0" w:space="0" w:color="auto"/>
        <w:right w:val="none" w:sz="0" w:space="0" w:color="auto"/>
      </w:divBdr>
    </w:div>
    <w:div w:id="1305962380">
      <w:bodyDiv w:val="1"/>
      <w:marLeft w:val="0"/>
      <w:marRight w:val="0"/>
      <w:marTop w:val="0"/>
      <w:marBottom w:val="0"/>
      <w:divBdr>
        <w:top w:val="none" w:sz="0" w:space="0" w:color="auto"/>
        <w:left w:val="none" w:sz="0" w:space="0" w:color="auto"/>
        <w:bottom w:val="none" w:sz="0" w:space="0" w:color="auto"/>
        <w:right w:val="none" w:sz="0" w:space="0" w:color="auto"/>
      </w:divBdr>
    </w:div>
    <w:div w:id="1318873605">
      <w:bodyDiv w:val="1"/>
      <w:marLeft w:val="0"/>
      <w:marRight w:val="0"/>
      <w:marTop w:val="0"/>
      <w:marBottom w:val="0"/>
      <w:divBdr>
        <w:top w:val="none" w:sz="0" w:space="0" w:color="auto"/>
        <w:left w:val="none" w:sz="0" w:space="0" w:color="auto"/>
        <w:bottom w:val="none" w:sz="0" w:space="0" w:color="auto"/>
        <w:right w:val="none" w:sz="0" w:space="0" w:color="auto"/>
      </w:divBdr>
    </w:div>
    <w:div w:id="1352105650">
      <w:bodyDiv w:val="1"/>
      <w:marLeft w:val="0"/>
      <w:marRight w:val="0"/>
      <w:marTop w:val="0"/>
      <w:marBottom w:val="0"/>
      <w:divBdr>
        <w:top w:val="none" w:sz="0" w:space="0" w:color="auto"/>
        <w:left w:val="none" w:sz="0" w:space="0" w:color="auto"/>
        <w:bottom w:val="none" w:sz="0" w:space="0" w:color="auto"/>
        <w:right w:val="none" w:sz="0" w:space="0" w:color="auto"/>
      </w:divBdr>
      <w:divsChild>
        <w:div w:id="1486049718">
          <w:marLeft w:val="0"/>
          <w:marRight w:val="0"/>
          <w:marTop w:val="0"/>
          <w:marBottom w:val="0"/>
          <w:divBdr>
            <w:top w:val="none" w:sz="0" w:space="0" w:color="auto"/>
            <w:left w:val="none" w:sz="0" w:space="0" w:color="auto"/>
            <w:bottom w:val="none" w:sz="0" w:space="0" w:color="auto"/>
            <w:right w:val="none" w:sz="0" w:space="0" w:color="auto"/>
          </w:divBdr>
          <w:divsChild>
            <w:div w:id="583950869">
              <w:marLeft w:val="0"/>
              <w:marRight w:val="0"/>
              <w:marTop w:val="0"/>
              <w:marBottom w:val="0"/>
              <w:divBdr>
                <w:top w:val="none" w:sz="0" w:space="0" w:color="auto"/>
                <w:left w:val="none" w:sz="0" w:space="0" w:color="auto"/>
                <w:bottom w:val="none" w:sz="0" w:space="0" w:color="auto"/>
                <w:right w:val="none" w:sz="0" w:space="0" w:color="auto"/>
              </w:divBdr>
              <w:divsChild>
                <w:div w:id="1516530156">
                  <w:marLeft w:val="0"/>
                  <w:marRight w:val="0"/>
                  <w:marTop w:val="0"/>
                  <w:marBottom w:val="0"/>
                  <w:divBdr>
                    <w:top w:val="none" w:sz="0" w:space="0" w:color="auto"/>
                    <w:left w:val="none" w:sz="0" w:space="0" w:color="auto"/>
                    <w:bottom w:val="none" w:sz="0" w:space="0" w:color="auto"/>
                    <w:right w:val="none" w:sz="0" w:space="0" w:color="auto"/>
                  </w:divBdr>
                  <w:divsChild>
                    <w:div w:id="1423843486">
                      <w:marLeft w:val="0"/>
                      <w:marRight w:val="0"/>
                      <w:marTop w:val="0"/>
                      <w:marBottom w:val="0"/>
                      <w:divBdr>
                        <w:top w:val="none" w:sz="0" w:space="0" w:color="auto"/>
                        <w:left w:val="none" w:sz="0" w:space="0" w:color="auto"/>
                        <w:bottom w:val="none" w:sz="0" w:space="0" w:color="auto"/>
                        <w:right w:val="none" w:sz="0" w:space="0" w:color="auto"/>
                      </w:divBdr>
                      <w:divsChild>
                        <w:div w:id="1212575971">
                          <w:marLeft w:val="0"/>
                          <w:marRight w:val="0"/>
                          <w:marTop w:val="0"/>
                          <w:marBottom w:val="0"/>
                          <w:divBdr>
                            <w:top w:val="none" w:sz="0" w:space="0" w:color="auto"/>
                            <w:left w:val="none" w:sz="0" w:space="0" w:color="auto"/>
                            <w:bottom w:val="none" w:sz="0" w:space="0" w:color="auto"/>
                            <w:right w:val="none" w:sz="0" w:space="0" w:color="auto"/>
                          </w:divBdr>
                          <w:divsChild>
                            <w:div w:id="1482766265">
                              <w:marLeft w:val="0"/>
                              <w:marRight w:val="0"/>
                              <w:marTop w:val="0"/>
                              <w:marBottom w:val="0"/>
                              <w:divBdr>
                                <w:top w:val="none" w:sz="0" w:space="0" w:color="auto"/>
                                <w:left w:val="none" w:sz="0" w:space="0" w:color="auto"/>
                                <w:bottom w:val="none" w:sz="0" w:space="0" w:color="auto"/>
                                <w:right w:val="none" w:sz="0" w:space="0" w:color="auto"/>
                              </w:divBdr>
                              <w:divsChild>
                                <w:div w:id="721099253">
                                  <w:marLeft w:val="0"/>
                                  <w:marRight w:val="0"/>
                                  <w:marTop w:val="0"/>
                                  <w:marBottom w:val="0"/>
                                  <w:divBdr>
                                    <w:top w:val="none" w:sz="0" w:space="0" w:color="auto"/>
                                    <w:left w:val="none" w:sz="0" w:space="0" w:color="auto"/>
                                    <w:bottom w:val="none" w:sz="0" w:space="0" w:color="auto"/>
                                    <w:right w:val="none" w:sz="0" w:space="0" w:color="auto"/>
                                  </w:divBdr>
                                  <w:divsChild>
                                    <w:div w:id="134455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302713">
      <w:bodyDiv w:val="1"/>
      <w:marLeft w:val="0"/>
      <w:marRight w:val="0"/>
      <w:marTop w:val="0"/>
      <w:marBottom w:val="0"/>
      <w:divBdr>
        <w:top w:val="none" w:sz="0" w:space="0" w:color="auto"/>
        <w:left w:val="none" w:sz="0" w:space="0" w:color="auto"/>
        <w:bottom w:val="none" w:sz="0" w:space="0" w:color="auto"/>
        <w:right w:val="none" w:sz="0" w:space="0" w:color="auto"/>
      </w:divBdr>
    </w:div>
    <w:div w:id="1473597837">
      <w:bodyDiv w:val="1"/>
      <w:marLeft w:val="0"/>
      <w:marRight w:val="0"/>
      <w:marTop w:val="0"/>
      <w:marBottom w:val="0"/>
      <w:divBdr>
        <w:top w:val="none" w:sz="0" w:space="0" w:color="auto"/>
        <w:left w:val="none" w:sz="0" w:space="0" w:color="auto"/>
        <w:bottom w:val="none" w:sz="0" w:space="0" w:color="auto"/>
        <w:right w:val="none" w:sz="0" w:space="0" w:color="auto"/>
      </w:divBdr>
    </w:div>
    <w:div w:id="1516842830">
      <w:bodyDiv w:val="1"/>
      <w:marLeft w:val="0"/>
      <w:marRight w:val="0"/>
      <w:marTop w:val="0"/>
      <w:marBottom w:val="0"/>
      <w:divBdr>
        <w:top w:val="none" w:sz="0" w:space="0" w:color="auto"/>
        <w:left w:val="none" w:sz="0" w:space="0" w:color="auto"/>
        <w:bottom w:val="none" w:sz="0" w:space="0" w:color="auto"/>
        <w:right w:val="none" w:sz="0" w:space="0" w:color="auto"/>
      </w:divBdr>
      <w:divsChild>
        <w:div w:id="1779980767">
          <w:marLeft w:val="0"/>
          <w:marRight w:val="0"/>
          <w:marTop w:val="0"/>
          <w:marBottom w:val="0"/>
          <w:divBdr>
            <w:top w:val="none" w:sz="0" w:space="0" w:color="auto"/>
            <w:left w:val="none" w:sz="0" w:space="0" w:color="auto"/>
            <w:bottom w:val="none" w:sz="0" w:space="0" w:color="auto"/>
            <w:right w:val="none" w:sz="0" w:space="0" w:color="auto"/>
          </w:divBdr>
          <w:divsChild>
            <w:div w:id="839932900">
              <w:marLeft w:val="0"/>
              <w:marRight w:val="0"/>
              <w:marTop w:val="0"/>
              <w:marBottom w:val="0"/>
              <w:divBdr>
                <w:top w:val="none" w:sz="0" w:space="0" w:color="auto"/>
                <w:left w:val="none" w:sz="0" w:space="0" w:color="auto"/>
                <w:bottom w:val="none" w:sz="0" w:space="0" w:color="auto"/>
                <w:right w:val="none" w:sz="0" w:space="0" w:color="auto"/>
              </w:divBdr>
              <w:divsChild>
                <w:div w:id="195431373">
                  <w:marLeft w:val="0"/>
                  <w:marRight w:val="0"/>
                  <w:marTop w:val="0"/>
                  <w:marBottom w:val="0"/>
                  <w:divBdr>
                    <w:top w:val="none" w:sz="0" w:space="0" w:color="auto"/>
                    <w:left w:val="none" w:sz="0" w:space="0" w:color="auto"/>
                    <w:bottom w:val="none" w:sz="0" w:space="0" w:color="auto"/>
                    <w:right w:val="none" w:sz="0" w:space="0" w:color="auto"/>
                  </w:divBdr>
                  <w:divsChild>
                    <w:div w:id="1613978153">
                      <w:marLeft w:val="0"/>
                      <w:marRight w:val="0"/>
                      <w:marTop w:val="0"/>
                      <w:marBottom w:val="0"/>
                      <w:divBdr>
                        <w:top w:val="none" w:sz="0" w:space="0" w:color="auto"/>
                        <w:left w:val="none" w:sz="0" w:space="0" w:color="auto"/>
                        <w:bottom w:val="none" w:sz="0" w:space="0" w:color="auto"/>
                        <w:right w:val="none" w:sz="0" w:space="0" w:color="auto"/>
                      </w:divBdr>
                      <w:divsChild>
                        <w:div w:id="315112845">
                          <w:marLeft w:val="0"/>
                          <w:marRight w:val="0"/>
                          <w:marTop w:val="0"/>
                          <w:marBottom w:val="0"/>
                          <w:divBdr>
                            <w:top w:val="none" w:sz="0" w:space="0" w:color="auto"/>
                            <w:left w:val="none" w:sz="0" w:space="0" w:color="auto"/>
                            <w:bottom w:val="none" w:sz="0" w:space="0" w:color="auto"/>
                            <w:right w:val="none" w:sz="0" w:space="0" w:color="auto"/>
                          </w:divBdr>
                          <w:divsChild>
                            <w:div w:id="1014453187">
                              <w:marLeft w:val="0"/>
                              <w:marRight w:val="0"/>
                              <w:marTop w:val="0"/>
                              <w:marBottom w:val="0"/>
                              <w:divBdr>
                                <w:top w:val="none" w:sz="0" w:space="0" w:color="auto"/>
                                <w:left w:val="none" w:sz="0" w:space="0" w:color="auto"/>
                                <w:bottom w:val="none" w:sz="0" w:space="0" w:color="auto"/>
                                <w:right w:val="none" w:sz="0" w:space="0" w:color="auto"/>
                              </w:divBdr>
                              <w:divsChild>
                                <w:div w:id="1615558342">
                                  <w:marLeft w:val="0"/>
                                  <w:marRight w:val="0"/>
                                  <w:marTop w:val="0"/>
                                  <w:marBottom w:val="0"/>
                                  <w:divBdr>
                                    <w:top w:val="none" w:sz="0" w:space="0" w:color="auto"/>
                                    <w:left w:val="none" w:sz="0" w:space="0" w:color="auto"/>
                                    <w:bottom w:val="none" w:sz="0" w:space="0" w:color="auto"/>
                                    <w:right w:val="none" w:sz="0" w:space="0" w:color="auto"/>
                                  </w:divBdr>
                                  <w:divsChild>
                                    <w:div w:id="186786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667384">
      <w:bodyDiv w:val="1"/>
      <w:marLeft w:val="0"/>
      <w:marRight w:val="0"/>
      <w:marTop w:val="0"/>
      <w:marBottom w:val="0"/>
      <w:divBdr>
        <w:top w:val="none" w:sz="0" w:space="0" w:color="auto"/>
        <w:left w:val="none" w:sz="0" w:space="0" w:color="auto"/>
        <w:bottom w:val="none" w:sz="0" w:space="0" w:color="auto"/>
        <w:right w:val="none" w:sz="0" w:space="0" w:color="auto"/>
      </w:divBdr>
    </w:div>
    <w:div w:id="1560170119">
      <w:bodyDiv w:val="1"/>
      <w:marLeft w:val="0"/>
      <w:marRight w:val="0"/>
      <w:marTop w:val="0"/>
      <w:marBottom w:val="0"/>
      <w:divBdr>
        <w:top w:val="none" w:sz="0" w:space="0" w:color="auto"/>
        <w:left w:val="none" w:sz="0" w:space="0" w:color="auto"/>
        <w:bottom w:val="none" w:sz="0" w:space="0" w:color="auto"/>
        <w:right w:val="none" w:sz="0" w:space="0" w:color="auto"/>
      </w:divBdr>
    </w:div>
    <w:div w:id="1631740638">
      <w:bodyDiv w:val="1"/>
      <w:marLeft w:val="0"/>
      <w:marRight w:val="0"/>
      <w:marTop w:val="0"/>
      <w:marBottom w:val="0"/>
      <w:divBdr>
        <w:top w:val="none" w:sz="0" w:space="0" w:color="auto"/>
        <w:left w:val="none" w:sz="0" w:space="0" w:color="auto"/>
        <w:bottom w:val="none" w:sz="0" w:space="0" w:color="auto"/>
        <w:right w:val="none" w:sz="0" w:space="0" w:color="auto"/>
      </w:divBdr>
    </w:div>
    <w:div w:id="1688940940">
      <w:bodyDiv w:val="1"/>
      <w:marLeft w:val="0"/>
      <w:marRight w:val="0"/>
      <w:marTop w:val="0"/>
      <w:marBottom w:val="0"/>
      <w:divBdr>
        <w:top w:val="none" w:sz="0" w:space="0" w:color="auto"/>
        <w:left w:val="none" w:sz="0" w:space="0" w:color="auto"/>
        <w:bottom w:val="none" w:sz="0" w:space="0" w:color="auto"/>
        <w:right w:val="none" w:sz="0" w:space="0" w:color="auto"/>
      </w:divBdr>
    </w:div>
    <w:div w:id="1726635625">
      <w:bodyDiv w:val="1"/>
      <w:marLeft w:val="0"/>
      <w:marRight w:val="0"/>
      <w:marTop w:val="0"/>
      <w:marBottom w:val="0"/>
      <w:divBdr>
        <w:top w:val="none" w:sz="0" w:space="0" w:color="auto"/>
        <w:left w:val="none" w:sz="0" w:space="0" w:color="auto"/>
        <w:bottom w:val="none" w:sz="0" w:space="0" w:color="auto"/>
        <w:right w:val="none" w:sz="0" w:space="0" w:color="auto"/>
      </w:divBdr>
    </w:div>
    <w:div w:id="1755514025">
      <w:bodyDiv w:val="1"/>
      <w:marLeft w:val="0"/>
      <w:marRight w:val="0"/>
      <w:marTop w:val="0"/>
      <w:marBottom w:val="0"/>
      <w:divBdr>
        <w:top w:val="none" w:sz="0" w:space="0" w:color="auto"/>
        <w:left w:val="none" w:sz="0" w:space="0" w:color="auto"/>
        <w:bottom w:val="none" w:sz="0" w:space="0" w:color="auto"/>
        <w:right w:val="none" w:sz="0" w:space="0" w:color="auto"/>
      </w:divBdr>
    </w:div>
    <w:div w:id="1806435780">
      <w:bodyDiv w:val="1"/>
      <w:marLeft w:val="0"/>
      <w:marRight w:val="0"/>
      <w:marTop w:val="0"/>
      <w:marBottom w:val="0"/>
      <w:divBdr>
        <w:top w:val="none" w:sz="0" w:space="0" w:color="auto"/>
        <w:left w:val="none" w:sz="0" w:space="0" w:color="auto"/>
        <w:bottom w:val="none" w:sz="0" w:space="0" w:color="auto"/>
        <w:right w:val="none" w:sz="0" w:space="0" w:color="auto"/>
      </w:divBdr>
    </w:div>
    <w:div w:id="1810586415">
      <w:bodyDiv w:val="1"/>
      <w:marLeft w:val="0"/>
      <w:marRight w:val="0"/>
      <w:marTop w:val="0"/>
      <w:marBottom w:val="0"/>
      <w:divBdr>
        <w:top w:val="none" w:sz="0" w:space="0" w:color="auto"/>
        <w:left w:val="none" w:sz="0" w:space="0" w:color="auto"/>
        <w:bottom w:val="none" w:sz="0" w:space="0" w:color="auto"/>
        <w:right w:val="none" w:sz="0" w:space="0" w:color="auto"/>
      </w:divBdr>
    </w:div>
    <w:div w:id="1828549688">
      <w:bodyDiv w:val="1"/>
      <w:marLeft w:val="0"/>
      <w:marRight w:val="0"/>
      <w:marTop w:val="0"/>
      <w:marBottom w:val="0"/>
      <w:divBdr>
        <w:top w:val="none" w:sz="0" w:space="0" w:color="auto"/>
        <w:left w:val="none" w:sz="0" w:space="0" w:color="auto"/>
        <w:bottom w:val="none" w:sz="0" w:space="0" w:color="auto"/>
        <w:right w:val="none" w:sz="0" w:space="0" w:color="auto"/>
      </w:divBdr>
    </w:div>
    <w:div w:id="1839033638">
      <w:bodyDiv w:val="1"/>
      <w:marLeft w:val="0"/>
      <w:marRight w:val="0"/>
      <w:marTop w:val="0"/>
      <w:marBottom w:val="0"/>
      <w:divBdr>
        <w:top w:val="none" w:sz="0" w:space="0" w:color="auto"/>
        <w:left w:val="none" w:sz="0" w:space="0" w:color="auto"/>
        <w:bottom w:val="none" w:sz="0" w:space="0" w:color="auto"/>
        <w:right w:val="none" w:sz="0" w:space="0" w:color="auto"/>
      </w:divBdr>
    </w:div>
    <w:div w:id="1913392729">
      <w:bodyDiv w:val="1"/>
      <w:marLeft w:val="0"/>
      <w:marRight w:val="0"/>
      <w:marTop w:val="0"/>
      <w:marBottom w:val="0"/>
      <w:divBdr>
        <w:top w:val="none" w:sz="0" w:space="0" w:color="auto"/>
        <w:left w:val="none" w:sz="0" w:space="0" w:color="auto"/>
        <w:bottom w:val="none" w:sz="0" w:space="0" w:color="auto"/>
        <w:right w:val="none" w:sz="0" w:space="0" w:color="auto"/>
      </w:divBdr>
    </w:div>
    <w:div w:id="1922369650">
      <w:bodyDiv w:val="1"/>
      <w:marLeft w:val="0"/>
      <w:marRight w:val="0"/>
      <w:marTop w:val="0"/>
      <w:marBottom w:val="0"/>
      <w:divBdr>
        <w:top w:val="none" w:sz="0" w:space="0" w:color="auto"/>
        <w:left w:val="none" w:sz="0" w:space="0" w:color="auto"/>
        <w:bottom w:val="none" w:sz="0" w:space="0" w:color="auto"/>
        <w:right w:val="none" w:sz="0" w:space="0" w:color="auto"/>
      </w:divBdr>
    </w:div>
    <w:div w:id="2032998632">
      <w:bodyDiv w:val="1"/>
      <w:marLeft w:val="0"/>
      <w:marRight w:val="0"/>
      <w:marTop w:val="0"/>
      <w:marBottom w:val="0"/>
      <w:divBdr>
        <w:top w:val="none" w:sz="0" w:space="0" w:color="auto"/>
        <w:left w:val="none" w:sz="0" w:space="0" w:color="auto"/>
        <w:bottom w:val="none" w:sz="0" w:space="0" w:color="auto"/>
        <w:right w:val="none" w:sz="0" w:space="0" w:color="auto"/>
      </w:divBdr>
    </w:div>
    <w:div w:id="2068992937">
      <w:bodyDiv w:val="1"/>
      <w:marLeft w:val="0"/>
      <w:marRight w:val="0"/>
      <w:marTop w:val="0"/>
      <w:marBottom w:val="0"/>
      <w:divBdr>
        <w:top w:val="none" w:sz="0" w:space="0" w:color="auto"/>
        <w:left w:val="none" w:sz="0" w:space="0" w:color="auto"/>
        <w:bottom w:val="none" w:sz="0" w:space="0" w:color="auto"/>
        <w:right w:val="none" w:sz="0" w:space="0" w:color="auto"/>
      </w:divBdr>
      <w:divsChild>
        <w:div w:id="317273879">
          <w:marLeft w:val="0"/>
          <w:marRight w:val="0"/>
          <w:marTop w:val="0"/>
          <w:marBottom w:val="0"/>
          <w:divBdr>
            <w:top w:val="none" w:sz="0" w:space="0" w:color="auto"/>
            <w:left w:val="none" w:sz="0" w:space="0" w:color="auto"/>
            <w:bottom w:val="none" w:sz="0" w:space="0" w:color="auto"/>
            <w:right w:val="none" w:sz="0" w:space="0" w:color="auto"/>
          </w:divBdr>
          <w:divsChild>
            <w:div w:id="207883836">
              <w:marLeft w:val="0"/>
              <w:marRight w:val="0"/>
              <w:marTop w:val="0"/>
              <w:marBottom w:val="0"/>
              <w:divBdr>
                <w:top w:val="none" w:sz="0" w:space="0" w:color="auto"/>
                <w:left w:val="none" w:sz="0" w:space="0" w:color="auto"/>
                <w:bottom w:val="none" w:sz="0" w:space="0" w:color="auto"/>
                <w:right w:val="none" w:sz="0" w:space="0" w:color="auto"/>
              </w:divBdr>
              <w:divsChild>
                <w:div w:id="1211843075">
                  <w:marLeft w:val="0"/>
                  <w:marRight w:val="0"/>
                  <w:marTop w:val="0"/>
                  <w:marBottom w:val="0"/>
                  <w:divBdr>
                    <w:top w:val="none" w:sz="0" w:space="0" w:color="auto"/>
                    <w:left w:val="none" w:sz="0" w:space="0" w:color="auto"/>
                    <w:bottom w:val="none" w:sz="0" w:space="0" w:color="auto"/>
                    <w:right w:val="none" w:sz="0" w:space="0" w:color="auto"/>
                  </w:divBdr>
                  <w:divsChild>
                    <w:div w:id="2143885342">
                      <w:marLeft w:val="0"/>
                      <w:marRight w:val="0"/>
                      <w:marTop w:val="0"/>
                      <w:marBottom w:val="0"/>
                      <w:divBdr>
                        <w:top w:val="none" w:sz="0" w:space="0" w:color="auto"/>
                        <w:left w:val="none" w:sz="0" w:space="0" w:color="auto"/>
                        <w:bottom w:val="none" w:sz="0" w:space="0" w:color="auto"/>
                        <w:right w:val="none" w:sz="0" w:space="0" w:color="auto"/>
                      </w:divBdr>
                      <w:divsChild>
                        <w:div w:id="1374771870">
                          <w:marLeft w:val="0"/>
                          <w:marRight w:val="0"/>
                          <w:marTop w:val="0"/>
                          <w:marBottom w:val="0"/>
                          <w:divBdr>
                            <w:top w:val="none" w:sz="0" w:space="0" w:color="auto"/>
                            <w:left w:val="none" w:sz="0" w:space="0" w:color="auto"/>
                            <w:bottom w:val="none" w:sz="0" w:space="0" w:color="auto"/>
                            <w:right w:val="none" w:sz="0" w:space="0" w:color="auto"/>
                          </w:divBdr>
                          <w:divsChild>
                            <w:div w:id="114375109">
                              <w:marLeft w:val="0"/>
                              <w:marRight w:val="0"/>
                              <w:marTop w:val="0"/>
                              <w:marBottom w:val="0"/>
                              <w:divBdr>
                                <w:top w:val="none" w:sz="0" w:space="0" w:color="auto"/>
                                <w:left w:val="none" w:sz="0" w:space="0" w:color="auto"/>
                                <w:bottom w:val="none" w:sz="0" w:space="0" w:color="auto"/>
                                <w:right w:val="none" w:sz="0" w:space="0" w:color="auto"/>
                              </w:divBdr>
                              <w:divsChild>
                                <w:div w:id="1030690274">
                                  <w:marLeft w:val="0"/>
                                  <w:marRight w:val="0"/>
                                  <w:marTop w:val="0"/>
                                  <w:marBottom w:val="0"/>
                                  <w:divBdr>
                                    <w:top w:val="none" w:sz="0" w:space="0" w:color="auto"/>
                                    <w:left w:val="none" w:sz="0" w:space="0" w:color="auto"/>
                                    <w:bottom w:val="none" w:sz="0" w:space="0" w:color="auto"/>
                                    <w:right w:val="none" w:sz="0" w:space="0" w:color="auto"/>
                                  </w:divBdr>
                                  <w:divsChild>
                                    <w:div w:id="16583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21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DEDF8-0D82-4BB8-8D4A-92E9FA4E9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1609</TotalTime>
  <Pages>10</Pages>
  <Words>19468</Words>
  <Characters>110969</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Edwin Salar</cp:lastModifiedBy>
  <cp:revision>33</cp:revision>
  <cp:lastPrinted>2026-05-31T01:30:00Z</cp:lastPrinted>
  <dcterms:created xsi:type="dcterms:W3CDTF">2026-05-31T14:01:00Z</dcterms:created>
  <dcterms:modified xsi:type="dcterms:W3CDTF">2026-06-10T12:58:00Z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AMA Manual of Style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APSA Style Manual revised 2018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ASA Style Guide 6th/7th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(author-date/Harvard)</vt:lpwstr>
  </property>
  <property fmtid="{D5CDD505-2E9C-101B-9397-08002B2CF9AE}" pid="14" name="Mendeley Recent Style Id 6_1">
    <vt:lpwstr>http://www.zotero.org/styles/ieee</vt:lpwstr>
  </property>
  <property fmtid="{D5CDD505-2E9C-101B-9397-08002B2CF9AE}" pid="15" name="Mendeley Recent Style Name 6_1">
    <vt:lpwstr>IEEE Reference Guide version 11.29.2023</vt:lpwstr>
  </property>
  <property fmtid="{D5CDD505-2E9C-101B-9397-08002B2CF9AE}" pid="16" name="Mendeley Recent Style Id 7_1">
    <vt:lpwstr>http://www.zotero.org/styles/modern-language-association</vt:lpwstr>
  </property>
  <property fmtid="{D5CDD505-2E9C-101B-9397-08002B2CF9AE}" pid="17" name="Mendeley Recent Style Name 7_1">
    <vt:lpwstr>MLA Handbook 9th edition (in-text citations)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308873df-9c83-3ee0-95d0-23d7543b6ff1</vt:lpwstr>
  </property>
  <property fmtid="{D5CDD505-2E9C-101B-9397-08002B2CF9AE}" pid="24" name="Mendeley Citation Style_1">
    <vt:lpwstr>http://www.zotero.org/styles/apa</vt:lpwstr>
  </property>
</Properties>
</file>