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C9FDC" w14:textId="77777777" w:rsidR="00EC05A7" w:rsidRDefault="005A700D">
      <w:pPr>
        <w:spacing w:after="40"/>
        <w:jc w:val="center"/>
      </w:pPr>
      <w:r>
        <w:rPr>
          <w:rFonts w:ascii="Arial" w:eastAsia="Arial" w:hAnsi="Arial" w:cs="Arial"/>
          <w:b/>
          <w:bCs/>
          <w:color w:val="1F497D"/>
          <w:sz w:val="22"/>
          <w:szCs w:val="22"/>
        </w:rPr>
        <w:t>International Journal of Research and Innovation in Applied Sciences (IJRIAS)</w:t>
      </w:r>
    </w:p>
    <w:p w14:paraId="458D8B8B" w14:textId="2E3FEDA8" w:rsidR="00EC05A7" w:rsidRDefault="00EC05A7" w:rsidP="00D76749">
      <w:pPr>
        <w:spacing w:after="160"/>
      </w:pPr>
    </w:p>
    <w:p w14:paraId="622F3E6B" w14:textId="77777777" w:rsidR="00EC05A7" w:rsidRDefault="005A700D">
      <w:pPr>
        <w:spacing w:before="100" w:after="120"/>
        <w:jc w:val="center"/>
      </w:pPr>
      <w:r>
        <w:rPr>
          <w:rFonts w:ascii="Arial" w:eastAsia="Arial" w:hAnsi="Arial" w:cs="Arial"/>
          <w:b/>
          <w:bCs/>
          <w:color w:val="000000"/>
          <w:sz w:val="26"/>
          <w:szCs w:val="26"/>
        </w:rPr>
        <w:t xml:space="preserve">Effectiveness of Muscle Energy Technique Combined with Neuromuscular Control Training Versus Mulligan's Mobilization with Movement Combined with Core Stabilization on Pain, </w:t>
      </w:r>
      <w:proofErr w:type="spellStart"/>
      <w:r>
        <w:rPr>
          <w:rFonts w:ascii="Arial" w:eastAsia="Arial" w:hAnsi="Arial" w:cs="Arial"/>
          <w:b/>
          <w:bCs/>
          <w:color w:val="000000"/>
          <w:sz w:val="26"/>
          <w:szCs w:val="26"/>
        </w:rPr>
        <w:t>Lumbopelvic</w:t>
      </w:r>
      <w:proofErr w:type="spellEnd"/>
      <w:r>
        <w:rPr>
          <w:rFonts w:ascii="Arial" w:eastAsia="Arial" w:hAnsi="Arial" w:cs="Arial"/>
          <w:b/>
          <w:bCs/>
          <w:color w:val="000000"/>
          <w:sz w:val="26"/>
          <w:szCs w:val="26"/>
        </w:rPr>
        <w:t xml:space="preserve"> Stability, and Functional Disability in Patients with Sacroiliac Joint Dysfunction</w:t>
      </w:r>
    </w:p>
    <w:p w14:paraId="56EF0F37" w14:textId="2BCB4E40" w:rsidR="0076145D" w:rsidRPr="005660FE" w:rsidRDefault="0000200D" w:rsidP="0076145D">
      <w:pPr>
        <w:spacing w:before="80" w:after="40"/>
        <w:jc w:val="center"/>
        <w:rPr>
          <w:rFonts w:ascii="Arial" w:eastAsia="Arial" w:hAnsi="Arial" w:cs="Arial"/>
          <w:b/>
          <w:bCs/>
          <w:color w:val="1F497D"/>
        </w:rPr>
      </w:pPr>
      <w:r>
        <w:rPr>
          <w:rFonts w:ascii="Arial" w:eastAsia="Arial" w:hAnsi="Arial" w:cs="Arial"/>
          <w:b/>
          <w:bCs/>
          <w:color w:val="1F497D"/>
        </w:rPr>
        <w:t xml:space="preserve">Dr. </w:t>
      </w:r>
      <w:proofErr w:type="spellStart"/>
      <w:r w:rsidR="00A67EE4" w:rsidRPr="00A67EE4">
        <w:rPr>
          <w:rFonts w:ascii="Arial" w:eastAsia="Arial" w:hAnsi="Arial" w:cs="Arial"/>
          <w:b/>
          <w:bCs/>
          <w:color w:val="1F497D"/>
        </w:rPr>
        <w:t>Hazrat</w:t>
      </w:r>
      <w:proofErr w:type="spellEnd"/>
      <w:r w:rsidR="00A67EE4" w:rsidRPr="00A67EE4">
        <w:rPr>
          <w:rFonts w:ascii="Arial" w:eastAsia="Arial" w:hAnsi="Arial" w:cs="Arial"/>
          <w:b/>
          <w:bCs/>
          <w:color w:val="1F497D"/>
        </w:rPr>
        <w:t xml:space="preserve"> Bilal</w:t>
      </w:r>
      <w:r w:rsidR="005660FE">
        <w:rPr>
          <w:rFonts w:ascii="Arial" w:eastAsia="Arial" w:hAnsi="Arial" w:cs="Arial"/>
          <w:b/>
          <w:bCs/>
          <w:color w:val="1F497D"/>
        </w:rPr>
        <w:t xml:space="preserve">, </w:t>
      </w:r>
      <w:r w:rsidR="002C4E29">
        <w:rPr>
          <w:rFonts w:ascii="Arial" w:eastAsia="Arial" w:hAnsi="Arial" w:cs="Arial"/>
          <w:b/>
          <w:bCs/>
          <w:color w:val="1F497D"/>
        </w:rPr>
        <w:t xml:space="preserve">Dr. </w:t>
      </w:r>
      <w:proofErr w:type="spellStart"/>
      <w:r w:rsidR="000352DD" w:rsidRPr="000352DD">
        <w:rPr>
          <w:rFonts w:ascii="Arial" w:eastAsia="Arial" w:hAnsi="Arial" w:cs="Arial"/>
          <w:b/>
          <w:bCs/>
          <w:color w:val="1F497D"/>
        </w:rPr>
        <w:t>Isbha</w:t>
      </w:r>
      <w:proofErr w:type="spellEnd"/>
      <w:r w:rsidR="000352DD" w:rsidRPr="000352DD">
        <w:rPr>
          <w:rFonts w:ascii="Arial" w:eastAsia="Arial" w:hAnsi="Arial" w:cs="Arial"/>
          <w:b/>
          <w:bCs/>
          <w:color w:val="1F497D"/>
        </w:rPr>
        <w:t xml:space="preserve"> Rashi</w:t>
      </w:r>
      <w:r w:rsidR="000352DD">
        <w:rPr>
          <w:rFonts w:ascii="Arial" w:eastAsia="Arial" w:hAnsi="Arial" w:cs="Arial"/>
          <w:b/>
          <w:bCs/>
          <w:color w:val="1F497D"/>
        </w:rPr>
        <w:t>d,</w:t>
      </w:r>
      <w:r w:rsidR="002C4E29">
        <w:rPr>
          <w:rFonts w:ascii="Arial" w:eastAsia="Arial" w:hAnsi="Arial" w:cs="Arial"/>
          <w:b/>
          <w:bCs/>
          <w:color w:val="1F497D"/>
        </w:rPr>
        <w:t xml:space="preserve"> </w:t>
      </w:r>
      <w:proofErr w:type="spellStart"/>
      <w:r w:rsidR="000B743B" w:rsidRPr="000B743B">
        <w:rPr>
          <w:rFonts w:ascii="Arial" w:eastAsia="Arial" w:hAnsi="Arial" w:cs="Arial"/>
          <w:b/>
          <w:bCs/>
          <w:color w:val="1F497D"/>
        </w:rPr>
        <w:t>Rumman</w:t>
      </w:r>
      <w:proofErr w:type="spellEnd"/>
      <w:r w:rsidR="000B743B" w:rsidRPr="000B743B">
        <w:rPr>
          <w:rFonts w:ascii="Arial" w:eastAsia="Arial" w:hAnsi="Arial" w:cs="Arial"/>
          <w:b/>
          <w:bCs/>
          <w:color w:val="1F497D"/>
        </w:rPr>
        <w:t xml:space="preserve"> </w:t>
      </w:r>
      <w:proofErr w:type="spellStart"/>
      <w:r w:rsidR="000B743B" w:rsidRPr="000B743B">
        <w:rPr>
          <w:rFonts w:ascii="Arial" w:eastAsia="Arial" w:hAnsi="Arial" w:cs="Arial"/>
          <w:b/>
          <w:bCs/>
          <w:color w:val="1F497D"/>
        </w:rPr>
        <w:t>anwar</w:t>
      </w:r>
      <w:proofErr w:type="spellEnd"/>
      <w:r w:rsidR="000B743B">
        <w:rPr>
          <w:rFonts w:ascii="Arial" w:eastAsia="Arial" w:hAnsi="Arial" w:cs="Arial"/>
          <w:b/>
          <w:bCs/>
          <w:color w:val="1F497D"/>
        </w:rPr>
        <w:t>,</w:t>
      </w:r>
      <w:r w:rsidR="00722D4A">
        <w:rPr>
          <w:rFonts w:ascii="Arial" w:eastAsia="Arial" w:hAnsi="Arial" w:cs="Arial"/>
          <w:b/>
          <w:bCs/>
          <w:color w:val="1F497D"/>
        </w:rPr>
        <w:t xml:space="preserve"> </w:t>
      </w:r>
      <w:r w:rsidR="00F6533B" w:rsidRPr="00F6533B">
        <w:rPr>
          <w:rFonts w:ascii="Arial" w:eastAsia="Arial" w:hAnsi="Arial" w:cs="Arial"/>
          <w:b/>
          <w:bCs/>
          <w:color w:val="1F497D"/>
        </w:rPr>
        <w:t xml:space="preserve">Ayesha </w:t>
      </w:r>
      <w:proofErr w:type="spellStart"/>
      <w:r w:rsidR="00F6533B" w:rsidRPr="00F6533B">
        <w:rPr>
          <w:rFonts w:ascii="Arial" w:eastAsia="Arial" w:hAnsi="Arial" w:cs="Arial"/>
          <w:b/>
          <w:bCs/>
          <w:color w:val="1F497D"/>
        </w:rPr>
        <w:t>Saleem</w:t>
      </w:r>
      <w:proofErr w:type="spellEnd"/>
      <w:r w:rsidR="00F6533B">
        <w:rPr>
          <w:rFonts w:ascii="Arial" w:eastAsia="Arial" w:hAnsi="Arial" w:cs="Arial"/>
          <w:b/>
          <w:bCs/>
          <w:color w:val="1F497D"/>
        </w:rPr>
        <w:t xml:space="preserve">, </w:t>
      </w:r>
      <w:r w:rsidR="000352DD">
        <w:rPr>
          <w:rFonts w:ascii="Arial" w:eastAsia="Arial" w:hAnsi="Arial" w:cs="Arial"/>
          <w:b/>
          <w:bCs/>
          <w:color w:val="1F497D"/>
        </w:rPr>
        <w:t xml:space="preserve"> </w:t>
      </w:r>
      <w:r w:rsidR="0076145D" w:rsidRPr="0076145D">
        <w:rPr>
          <w:rFonts w:ascii="Arial" w:eastAsia="Arial" w:hAnsi="Arial" w:cs="Arial"/>
          <w:b/>
          <w:bCs/>
          <w:color w:val="1F497D"/>
        </w:rPr>
        <w:t>Fa</w:t>
      </w:r>
      <w:r w:rsidR="0076145D">
        <w:rPr>
          <w:rFonts w:ascii="Arial" w:eastAsia="Arial" w:hAnsi="Arial" w:cs="Arial"/>
          <w:b/>
          <w:bCs/>
          <w:color w:val="1F497D"/>
        </w:rPr>
        <w:t>tim</w:t>
      </w:r>
      <w:r w:rsidR="0076145D" w:rsidRPr="0076145D">
        <w:rPr>
          <w:rFonts w:ascii="Arial" w:eastAsia="Arial" w:hAnsi="Arial" w:cs="Arial"/>
          <w:b/>
          <w:bCs/>
          <w:color w:val="1F497D"/>
        </w:rPr>
        <w:t xml:space="preserve">a </w:t>
      </w:r>
      <w:proofErr w:type="spellStart"/>
      <w:r w:rsidR="0076145D" w:rsidRPr="0076145D">
        <w:rPr>
          <w:rFonts w:ascii="Arial" w:eastAsia="Arial" w:hAnsi="Arial" w:cs="Arial"/>
          <w:b/>
          <w:bCs/>
          <w:color w:val="1F497D"/>
        </w:rPr>
        <w:t>Nisar</w:t>
      </w:r>
      <w:proofErr w:type="spellEnd"/>
      <w:r w:rsidR="005A700D">
        <w:rPr>
          <w:rFonts w:ascii="Arial" w:eastAsia="Arial" w:hAnsi="Arial" w:cs="Arial"/>
          <w:b/>
          <w:bCs/>
          <w:color w:val="1F497D"/>
        </w:rPr>
        <w:t xml:space="preserve"> </w:t>
      </w:r>
    </w:p>
    <w:p w14:paraId="09DBAC5E" w14:textId="72D5E520" w:rsidR="00EC05A7" w:rsidRDefault="0076145D" w:rsidP="00D76749">
      <w:pPr>
        <w:spacing w:after="40"/>
        <w:jc w:val="center"/>
        <w:rPr>
          <w:rFonts w:ascii="Arial" w:eastAsia="Arial" w:hAnsi="Arial" w:cs="Arial"/>
          <w:color w:val="595959"/>
          <w:sz w:val="18"/>
          <w:szCs w:val="18"/>
        </w:rPr>
      </w:pPr>
      <w:r>
        <w:rPr>
          <w:rFonts w:ascii="Arial" w:eastAsia="Arial" w:hAnsi="Arial" w:cs="Arial"/>
          <w:color w:val="595959"/>
          <w:sz w:val="18"/>
          <w:szCs w:val="18"/>
        </w:rPr>
        <w:t>1</w:t>
      </w:r>
      <w:r w:rsidR="004F6648">
        <w:rPr>
          <w:rFonts w:ascii="Arial" w:eastAsia="Arial" w:hAnsi="Arial" w:cs="Arial"/>
          <w:color w:val="595959"/>
          <w:sz w:val="18"/>
          <w:szCs w:val="18"/>
        </w:rPr>
        <w:t xml:space="preserve">_ </w:t>
      </w:r>
      <w:r w:rsidR="00182696" w:rsidRPr="00182696">
        <w:rPr>
          <w:rFonts w:ascii="Arial" w:eastAsia="Arial" w:hAnsi="Arial" w:cs="Arial"/>
          <w:color w:val="595959"/>
          <w:sz w:val="18"/>
          <w:szCs w:val="18"/>
        </w:rPr>
        <w:t xml:space="preserve">Physiotherapist at </w:t>
      </w:r>
      <w:proofErr w:type="spellStart"/>
      <w:r w:rsidR="00182696" w:rsidRPr="00182696">
        <w:rPr>
          <w:rFonts w:ascii="Arial" w:eastAsia="Arial" w:hAnsi="Arial" w:cs="Arial"/>
          <w:color w:val="595959"/>
          <w:sz w:val="18"/>
          <w:szCs w:val="18"/>
        </w:rPr>
        <w:t>Alkhidmat</w:t>
      </w:r>
      <w:proofErr w:type="spellEnd"/>
      <w:r w:rsidR="00182696" w:rsidRPr="00182696">
        <w:rPr>
          <w:rFonts w:ascii="Arial" w:eastAsia="Arial" w:hAnsi="Arial" w:cs="Arial"/>
          <w:color w:val="595959"/>
          <w:sz w:val="18"/>
          <w:szCs w:val="18"/>
        </w:rPr>
        <w:t xml:space="preserve"> </w:t>
      </w:r>
      <w:proofErr w:type="spellStart"/>
      <w:r w:rsidR="00182696" w:rsidRPr="00182696">
        <w:rPr>
          <w:rFonts w:ascii="Arial" w:eastAsia="Arial" w:hAnsi="Arial" w:cs="Arial"/>
          <w:color w:val="595959"/>
          <w:sz w:val="18"/>
          <w:szCs w:val="18"/>
        </w:rPr>
        <w:t>Farzana</w:t>
      </w:r>
      <w:proofErr w:type="spellEnd"/>
      <w:r w:rsidR="00182696" w:rsidRPr="00182696">
        <w:rPr>
          <w:rFonts w:ascii="Arial" w:eastAsia="Arial" w:hAnsi="Arial" w:cs="Arial"/>
          <w:color w:val="595959"/>
          <w:sz w:val="18"/>
          <w:szCs w:val="18"/>
        </w:rPr>
        <w:t xml:space="preserve"> </w:t>
      </w:r>
      <w:proofErr w:type="spellStart"/>
      <w:r w:rsidR="00182696" w:rsidRPr="00182696">
        <w:rPr>
          <w:rFonts w:ascii="Arial" w:eastAsia="Arial" w:hAnsi="Arial" w:cs="Arial"/>
          <w:color w:val="595959"/>
          <w:sz w:val="18"/>
          <w:szCs w:val="18"/>
        </w:rPr>
        <w:t>Shahnawaz</w:t>
      </w:r>
      <w:proofErr w:type="spellEnd"/>
      <w:r w:rsidR="00182696" w:rsidRPr="00182696">
        <w:rPr>
          <w:rFonts w:ascii="Arial" w:eastAsia="Arial" w:hAnsi="Arial" w:cs="Arial"/>
          <w:color w:val="595959"/>
          <w:sz w:val="18"/>
          <w:szCs w:val="18"/>
        </w:rPr>
        <w:t xml:space="preserve"> Hospital </w:t>
      </w:r>
      <w:proofErr w:type="spellStart"/>
      <w:r w:rsidR="00182696" w:rsidRPr="00182696">
        <w:rPr>
          <w:rFonts w:ascii="Arial" w:eastAsia="Arial" w:hAnsi="Arial" w:cs="Arial"/>
          <w:color w:val="595959"/>
          <w:sz w:val="18"/>
          <w:szCs w:val="18"/>
        </w:rPr>
        <w:t>Alamabad</w:t>
      </w:r>
      <w:proofErr w:type="spellEnd"/>
      <w:r w:rsidR="00182696" w:rsidRPr="00182696">
        <w:rPr>
          <w:rFonts w:ascii="Arial" w:eastAsia="Arial" w:hAnsi="Arial" w:cs="Arial"/>
          <w:color w:val="595959"/>
          <w:sz w:val="18"/>
          <w:szCs w:val="18"/>
        </w:rPr>
        <w:t xml:space="preserve"> </w:t>
      </w:r>
      <w:proofErr w:type="spellStart"/>
      <w:r w:rsidR="00182696" w:rsidRPr="00182696">
        <w:rPr>
          <w:rFonts w:ascii="Arial" w:eastAsia="Arial" w:hAnsi="Arial" w:cs="Arial"/>
          <w:color w:val="595959"/>
          <w:sz w:val="18"/>
          <w:szCs w:val="18"/>
        </w:rPr>
        <w:t>Swabi,KPK</w:t>
      </w:r>
      <w:proofErr w:type="spellEnd"/>
    </w:p>
    <w:p w14:paraId="26AA9979" w14:textId="5C209284" w:rsidR="00C4627D" w:rsidRDefault="00C4627D" w:rsidP="00D76749">
      <w:pPr>
        <w:spacing w:after="40"/>
        <w:jc w:val="center"/>
        <w:rPr>
          <w:rFonts w:ascii="Arial" w:eastAsia="Arial" w:hAnsi="Arial" w:cs="Arial"/>
          <w:color w:val="595959"/>
          <w:sz w:val="18"/>
          <w:szCs w:val="18"/>
        </w:rPr>
      </w:pPr>
      <w:r>
        <w:rPr>
          <w:rFonts w:ascii="Arial" w:eastAsia="Arial" w:hAnsi="Arial" w:cs="Arial"/>
          <w:color w:val="595959"/>
          <w:sz w:val="18"/>
          <w:szCs w:val="18"/>
        </w:rPr>
        <w:t xml:space="preserve">2_ </w:t>
      </w:r>
      <w:r w:rsidRPr="00C4627D">
        <w:rPr>
          <w:rFonts w:ascii="Arial" w:eastAsia="Arial" w:hAnsi="Arial" w:cs="Arial"/>
          <w:color w:val="595959"/>
          <w:sz w:val="18"/>
          <w:szCs w:val="18"/>
        </w:rPr>
        <w:t xml:space="preserve">Clinical Physiotherapist at </w:t>
      </w:r>
      <w:proofErr w:type="spellStart"/>
      <w:r w:rsidRPr="00C4627D">
        <w:rPr>
          <w:rFonts w:ascii="Arial" w:eastAsia="Arial" w:hAnsi="Arial" w:cs="Arial"/>
          <w:color w:val="595959"/>
          <w:sz w:val="18"/>
          <w:szCs w:val="18"/>
        </w:rPr>
        <w:t>physio</w:t>
      </w:r>
      <w:proofErr w:type="spellEnd"/>
      <w:r w:rsidRPr="00C4627D">
        <w:rPr>
          <w:rFonts w:ascii="Arial" w:eastAsia="Arial" w:hAnsi="Arial" w:cs="Arial"/>
          <w:color w:val="595959"/>
          <w:sz w:val="18"/>
          <w:szCs w:val="18"/>
        </w:rPr>
        <w:t xml:space="preserve"> and rehab clinic, Faisalabad</w:t>
      </w:r>
      <w:r w:rsidR="0098766A">
        <w:rPr>
          <w:rFonts w:ascii="Arial" w:eastAsia="Arial" w:hAnsi="Arial" w:cs="Arial"/>
          <w:color w:val="595959"/>
          <w:sz w:val="18"/>
          <w:szCs w:val="18"/>
        </w:rPr>
        <w:t>, Pakistan.</w:t>
      </w:r>
    </w:p>
    <w:p w14:paraId="7FDA13F7" w14:textId="409473C0" w:rsidR="004C4B6A" w:rsidRDefault="00C4627D" w:rsidP="004C4B6A">
      <w:pPr>
        <w:spacing w:after="40"/>
        <w:jc w:val="center"/>
        <w:rPr>
          <w:rFonts w:ascii="Arial" w:eastAsia="Arial" w:hAnsi="Arial" w:cs="Arial"/>
          <w:color w:val="595959"/>
          <w:sz w:val="18"/>
          <w:szCs w:val="18"/>
        </w:rPr>
      </w:pPr>
      <w:r>
        <w:rPr>
          <w:rFonts w:ascii="Arial" w:eastAsia="Arial" w:hAnsi="Arial" w:cs="Arial"/>
          <w:color w:val="595959"/>
          <w:sz w:val="18"/>
          <w:szCs w:val="18"/>
        </w:rPr>
        <w:t>3_</w:t>
      </w:r>
      <w:r w:rsidR="002767DD" w:rsidRPr="002767DD">
        <w:rPr>
          <w:rFonts w:ascii="Arial" w:eastAsia="Arial" w:hAnsi="Arial" w:cs="Arial"/>
          <w:color w:val="595959"/>
          <w:sz w:val="18"/>
          <w:szCs w:val="18"/>
        </w:rPr>
        <w:t xml:space="preserve">Ex. Physiotherapist at </w:t>
      </w:r>
      <w:proofErr w:type="spellStart"/>
      <w:r w:rsidR="002767DD" w:rsidRPr="002767DD">
        <w:rPr>
          <w:rFonts w:ascii="Arial" w:eastAsia="Arial" w:hAnsi="Arial" w:cs="Arial"/>
          <w:color w:val="595959"/>
          <w:sz w:val="18"/>
          <w:szCs w:val="18"/>
        </w:rPr>
        <w:t>rabia</w:t>
      </w:r>
      <w:proofErr w:type="spellEnd"/>
      <w:r w:rsidR="002767DD" w:rsidRPr="002767DD">
        <w:rPr>
          <w:rFonts w:ascii="Arial" w:eastAsia="Arial" w:hAnsi="Arial" w:cs="Arial"/>
          <w:color w:val="595959"/>
          <w:sz w:val="18"/>
          <w:szCs w:val="18"/>
        </w:rPr>
        <w:t xml:space="preserve"> trust </w:t>
      </w:r>
      <w:proofErr w:type="spellStart"/>
      <w:r w:rsidR="002767DD" w:rsidRPr="002767DD">
        <w:rPr>
          <w:rFonts w:ascii="Arial" w:eastAsia="Arial" w:hAnsi="Arial" w:cs="Arial"/>
          <w:color w:val="595959"/>
          <w:sz w:val="18"/>
          <w:szCs w:val="18"/>
        </w:rPr>
        <w:t>hospital</w:t>
      </w:r>
      <w:r w:rsidR="002767DD">
        <w:rPr>
          <w:rFonts w:ascii="Arial" w:eastAsia="Arial" w:hAnsi="Arial" w:cs="Arial"/>
          <w:color w:val="595959"/>
          <w:sz w:val="18"/>
          <w:szCs w:val="18"/>
        </w:rPr>
        <w:t>,Faisalabad</w:t>
      </w:r>
      <w:proofErr w:type="spellEnd"/>
      <w:r w:rsidR="004C4B6A">
        <w:rPr>
          <w:rFonts w:ascii="Arial" w:eastAsia="Arial" w:hAnsi="Arial" w:cs="Arial"/>
          <w:color w:val="595959"/>
          <w:sz w:val="18"/>
          <w:szCs w:val="18"/>
        </w:rPr>
        <w:t xml:space="preserve">, </w:t>
      </w:r>
      <w:proofErr w:type="spellStart"/>
      <w:r w:rsidR="004C4B6A">
        <w:rPr>
          <w:rFonts w:ascii="Arial" w:eastAsia="Arial" w:hAnsi="Arial" w:cs="Arial"/>
          <w:color w:val="595959"/>
          <w:sz w:val="18"/>
          <w:szCs w:val="18"/>
        </w:rPr>
        <w:t>Pakistanú</w:t>
      </w:r>
      <w:proofErr w:type="spellEnd"/>
    </w:p>
    <w:p w14:paraId="65EC8F1B" w14:textId="60E85637" w:rsidR="002767DD" w:rsidRDefault="002767DD" w:rsidP="00C4627D">
      <w:pPr>
        <w:spacing w:after="40"/>
        <w:jc w:val="center"/>
        <w:rPr>
          <w:rFonts w:ascii="Arial" w:eastAsia="Arial" w:hAnsi="Arial" w:cs="Arial"/>
          <w:color w:val="595959"/>
          <w:sz w:val="18"/>
          <w:szCs w:val="18"/>
        </w:rPr>
      </w:pPr>
      <w:r>
        <w:rPr>
          <w:rFonts w:ascii="Arial" w:eastAsia="Arial" w:hAnsi="Arial" w:cs="Arial"/>
          <w:color w:val="595959"/>
          <w:sz w:val="18"/>
          <w:szCs w:val="18"/>
        </w:rPr>
        <w:t>4</w:t>
      </w:r>
      <w:r w:rsidR="009F373D">
        <w:rPr>
          <w:rFonts w:ascii="Arial" w:eastAsia="Arial" w:hAnsi="Arial" w:cs="Arial"/>
          <w:color w:val="595959"/>
          <w:sz w:val="18"/>
          <w:szCs w:val="18"/>
        </w:rPr>
        <w:t>_</w:t>
      </w:r>
    </w:p>
    <w:p w14:paraId="5F73398F" w14:textId="634576AD" w:rsidR="009F373D" w:rsidRDefault="009F373D" w:rsidP="00C4627D">
      <w:pPr>
        <w:spacing w:after="40"/>
        <w:jc w:val="center"/>
        <w:rPr>
          <w:rFonts w:ascii="Arial" w:eastAsia="Arial" w:hAnsi="Arial" w:cs="Arial"/>
          <w:color w:val="595959"/>
          <w:sz w:val="18"/>
          <w:szCs w:val="18"/>
        </w:rPr>
      </w:pPr>
      <w:r>
        <w:rPr>
          <w:rFonts w:ascii="Arial" w:eastAsia="Arial" w:hAnsi="Arial" w:cs="Arial"/>
          <w:color w:val="595959"/>
          <w:sz w:val="18"/>
          <w:szCs w:val="18"/>
        </w:rPr>
        <w:t>5_</w:t>
      </w:r>
    </w:p>
    <w:p w14:paraId="02170E43" w14:textId="6DFE09D2" w:rsidR="009F373D" w:rsidRDefault="009F373D" w:rsidP="00C4627D">
      <w:pPr>
        <w:spacing w:after="40"/>
        <w:jc w:val="center"/>
        <w:rPr>
          <w:rFonts w:ascii="Arial" w:eastAsia="Arial" w:hAnsi="Arial" w:cs="Arial"/>
          <w:color w:val="595959"/>
          <w:sz w:val="18"/>
          <w:szCs w:val="18"/>
        </w:rPr>
      </w:pPr>
      <w:r>
        <w:rPr>
          <w:rFonts w:ascii="Arial" w:eastAsia="Arial" w:hAnsi="Arial" w:cs="Arial"/>
          <w:color w:val="595959"/>
          <w:sz w:val="18"/>
          <w:szCs w:val="18"/>
        </w:rPr>
        <w:t>6_</w:t>
      </w:r>
    </w:p>
    <w:p w14:paraId="33DE0032" w14:textId="00AB9C62" w:rsidR="009F373D" w:rsidRDefault="009F373D" w:rsidP="00C4627D">
      <w:pPr>
        <w:spacing w:after="40"/>
        <w:jc w:val="center"/>
        <w:rPr>
          <w:rFonts w:ascii="Arial" w:eastAsia="Arial" w:hAnsi="Arial" w:cs="Arial"/>
          <w:color w:val="595959"/>
          <w:sz w:val="18"/>
          <w:szCs w:val="18"/>
        </w:rPr>
      </w:pPr>
      <w:r>
        <w:rPr>
          <w:rFonts w:ascii="Arial" w:eastAsia="Arial" w:hAnsi="Arial" w:cs="Arial"/>
          <w:color w:val="595959"/>
          <w:sz w:val="18"/>
          <w:szCs w:val="18"/>
        </w:rPr>
        <w:t>7_</w:t>
      </w:r>
      <w:r w:rsidR="00576CF3" w:rsidRPr="00576CF3">
        <w:rPr>
          <w:rFonts w:ascii="Arial" w:eastAsia="Arial" w:hAnsi="Arial" w:cs="Arial"/>
          <w:color w:val="595959"/>
          <w:sz w:val="18"/>
          <w:szCs w:val="18"/>
        </w:rPr>
        <w:t>MSK-PT Student of Master  Musculoskeletal Physical Therapy  Foundation University Islamabad,</w:t>
      </w:r>
      <w:r w:rsidR="00576CF3">
        <w:rPr>
          <w:rFonts w:ascii="Arial" w:eastAsia="Arial" w:hAnsi="Arial" w:cs="Arial"/>
          <w:color w:val="595959"/>
          <w:sz w:val="18"/>
          <w:szCs w:val="18"/>
        </w:rPr>
        <w:t xml:space="preserve"> Pakistan</w:t>
      </w:r>
    </w:p>
    <w:p w14:paraId="412AFF15" w14:textId="77777777" w:rsidR="0098766A" w:rsidRPr="0098766A" w:rsidRDefault="00576CF3" w:rsidP="0098766A">
      <w:pPr>
        <w:spacing w:after="40"/>
        <w:jc w:val="center"/>
        <w:rPr>
          <w:rFonts w:ascii="Arial" w:eastAsia="Arial" w:hAnsi="Arial" w:cs="Arial"/>
          <w:color w:val="595959"/>
          <w:sz w:val="18"/>
          <w:szCs w:val="18"/>
        </w:rPr>
      </w:pPr>
      <w:r>
        <w:rPr>
          <w:rFonts w:ascii="Arial" w:eastAsia="Arial" w:hAnsi="Arial" w:cs="Arial"/>
          <w:color w:val="595959"/>
          <w:sz w:val="18"/>
          <w:szCs w:val="18"/>
        </w:rPr>
        <w:t>8</w:t>
      </w:r>
      <w:r w:rsidR="00474E96">
        <w:rPr>
          <w:rFonts w:ascii="Arial" w:eastAsia="Arial" w:hAnsi="Arial" w:cs="Arial"/>
          <w:color w:val="595959"/>
          <w:sz w:val="18"/>
          <w:szCs w:val="18"/>
        </w:rPr>
        <w:t>_</w:t>
      </w:r>
      <w:r w:rsidR="0098766A" w:rsidRPr="0098766A">
        <w:rPr>
          <w:rFonts w:ascii="Arial" w:eastAsia="Arial" w:hAnsi="Arial" w:cs="Arial"/>
          <w:color w:val="595959"/>
          <w:sz w:val="18"/>
          <w:szCs w:val="18"/>
        </w:rPr>
        <w:t xml:space="preserve">MS-NPT , Student of Master of Neuro physical therapy </w:t>
      </w:r>
    </w:p>
    <w:p w14:paraId="23C06B5E" w14:textId="776D1AC6" w:rsidR="00576CF3" w:rsidRDefault="0098766A" w:rsidP="00C4627D">
      <w:pPr>
        <w:spacing w:after="40"/>
        <w:jc w:val="center"/>
        <w:rPr>
          <w:rFonts w:ascii="Arial" w:eastAsia="Arial" w:hAnsi="Arial" w:cs="Arial"/>
          <w:color w:val="595959"/>
          <w:sz w:val="18"/>
          <w:szCs w:val="18"/>
        </w:rPr>
      </w:pPr>
      <w:r w:rsidRPr="0098766A">
        <w:rPr>
          <w:rFonts w:ascii="Arial" w:eastAsia="Arial" w:hAnsi="Arial" w:cs="Arial"/>
          <w:color w:val="595959"/>
          <w:sz w:val="18"/>
          <w:szCs w:val="18"/>
        </w:rPr>
        <w:t xml:space="preserve"> Foundation university Islamabad</w:t>
      </w:r>
      <w:r>
        <w:rPr>
          <w:rFonts w:ascii="Arial" w:eastAsia="Arial" w:hAnsi="Arial" w:cs="Arial"/>
          <w:color w:val="595959"/>
          <w:sz w:val="18"/>
          <w:szCs w:val="18"/>
        </w:rPr>
        <w:t>, Pakistan.</w:t>
      </w:r>
    </w:p>
    <w:p w14:paraId="0051CA99" w14:textId="77777777" w:rsidR="00182696" w:rsidRDefault="00182696" w:rsidP="00D76749">
      <w:pPr>
        <w:spacing w:after="40"/>
        <w:jc w:val="center"/>
      </w:pPr>
    </w:p>
    <w:p w14:paraId="4B7058BB" w14:textId="77777777" w:rsidR="00EC05A7" w:rsidRDefault="005A700D">
      <w:pPr>
        <w:pBdr>
          <w:bottom w:val="single" w:sz="6" w:space="4" w:color="1F497D"/>
        </w:pBdr>
        <w:spacing w:before="200" w:after="100"/>
      </w:pPr>
      <w:r>
        <w:rPr>
          <w:rFonts w:ascii="Arial" w:eastAsia="Arial" w:hAnsi="Arial" w:cs="Arial"/>
          <w:b/>
          <w:bCs/>
          <w:caps/>
          <w:color w:val="1F497D"/>
          <w:sz w:val="22"/>
          <w:szCs w:val="22"/>
        </w:rPr>
        <w:t>ABSTRACT</w:t>
      </w:r>
    </w:p>
    <w:p w14:paraId="3008DBD2" w14:textId="77777777" w:rsidR="00EC05A7" w:rsidRDefault="005A700D">
      <w:pPr>
        <w:spacing w:before="100" w:after="80" w:line="276" w:lineRule="auto"/>
        <w:jc w:val="both"/>
      </w:pPr>
      <w:r>
        <w:rPr>
          <w:color w:val="000000"/>
        </w:rPr>
        <w:t xml:space="preserve">Background: Sacroiliac joint dysfunction (SIJD) is a prevalent musculoskeletal disorder that contributes significantly to low back pain, </w:t>
      </w:r>
      <w:proofErr w:type="spellStart"/>
      <w:r>
        <w:rPr>
          <w:color w:val="000000"/>
        </w:rPr>
        <w:t>lumbopelvic</w:t>
      </w:r>
      <w:proofErr w:type="spellEnd"/>
      <w:r>
        <w:rPr>
          <w:color w:val="000000"/>
        </w:rPr>
        <w:t xml:space="preserve"> instability, and functional disability. Despite growing therapeutic options, comparative evidence regarding multimodal physiotherapy interventions remains limited.</w:t>
      </w:r>
    </w:p>
    <w:p w14:paraId="5EE5D19E" w14:textId="77777777" w:rsidR="00EC05A7" w:rsidRDefault="005A700D">
      <w:pPr>
        <w:spacing w:before="80" w:after="80" w:line="276" w:lineRule="auto"/>
        <w:jc w:val="both"/>
      </w:pPr>
      <w:r>
        <w:rPr>
          <w:color w:val="000000"/>
        </w:rPr>
        <w:t xml:space="preserve">Objective: To compare the effectiveness of Muscle Energy Technique (MET) combined with Neuromuscular Control Training (NMCT) versus Mulligan's Mobilization with Movement (MWM) combined with Core Stabilization (CS) on pain intensity, </w:t>
      </w:r>
      <w:proofErr w:type="spellStart"/>
      <w:r>
        <w:rPr>
          <w:color w:val="000000"/>
        </w:rPr>
        <w:t>lumbopelvic</w:t>
      </w:r>
      <w:proofErr w:type="spellEnd"/>
      <w:r>
        <w:rPr>
          <w:color w:val="000000"/>
        </w:rPr>
        <w:t xml:space="preserve"> stability, and functional disability in patients with SIJD.</w:t>
      </w:r>
    </w:p>
    <w:p w14:paraId="31A77B6F" w14:textId="77777777" w:rsidR="00EC05A7" w:rsidRDefault="005A700D">
      <w:pPr>
        <w:spacing w:before="80" w:after="80" w:line="276" w:lineRule="auto"/>
        <w:jc w:val="both"/>
      </w:pPr>
      <w:r>
        <w:rPr>
          <w:color w:val="000000"/>
        </w:rPr>
        <w:t xml:space="preserve">Methods: A randomized controlled trial was conducted on 60 patients diagnosed with SIJD (age 25–55 years). Participants were randomly assigned to Group A (MET + NMCT, n = 30) or Group B (MWM + CS, n = 30). Both groups received 12 treatment sessions over 4 weeks. Outcome measures included the Numeric Pain Rating Scale (NPRS), Active Straight Leg Raise test (ASLR) for </w:t>
      </w:r>
      <w:proofErr w:type="spellStart"/>
      <w:r>
        <w:rPr>
          <w:color w:val="000000"/>
        </w:rPr>
        <w:t>lumbopelvic</w:t>
      </w:r>
      <w:proofErr w:type="spellEnd"/>
      <w:r>
        <w:rPr>
          <w:color w:val="000000"/>
        </w:rPr>
        <w:t xml:space="preserve"> stability, and the </w:t>
      </w:r>
      <w:proofErr w:type="spellStart"/>
      <w:r>
        <w:rPr>
          <w:color w:val="000000"/>
        </w:rPr>
        <w:t>Oswestry</w:t>
      </w:r>
      <w:proofErr w:type="spellEnd"/>
      <w:r>
        <w:rPr>
          <w:color w:val="000000"/>
        </w:rPr>
        <w:t xml:space="preserve"> Disability Index (ODI) for functional disability. Assessments were performed at baseline, 2 weeks, and 4 weeks.</w:t>
      </w:r>
    </w:p>
    <w:p w14:paraId="01370D6C" w14:textId="77777777" w:rsidR="00EC05A7" w:rsidRDefault="005A700D">
      <w:pPr>
        <w:spacing w:before="80" w:after="80" w:line="276" w:lineRule="auto"/>
        <w:jc w:val="both"/>
      </w:pPr>
      <w:r>
        <w:rPr>
          <w:color w:val="000000"/>
        </w:rPr>
        <w:t>Results: Both groups demonstrated statistically significant improvements in all outcome measures from baseline to 4 weeks (p &lt; 0.001). Group A (MET + NMCT) showed superior improvements in NPRS (mean reduction: 3.8 ± 0.9 vs. 2.9 ± 1.1, p = 0.002), ASLR scores (mean improvement: 1.6 ± 0.5 vs. 1.2 ± 0.6, p = 0.014), and ODI scores (mean reduction: 22.4% ± 5.1 vs. 17.6% ± 6.3, p = 0.003) compared to Group B. Between-group differences were statistically significant for all outcomes.</w:t>
      </w:r>
    </w:p>
    <w:p w14:paraId="380A8F46" w14:textId="77777777" w:rsidR="00EC05A7" w:rsidRDefault="005A700D">
      <w:pPr>
        <w:spacing w:before="80" w:after="80" w:line="276" w:lineRule="auto"/>
        <w:jc w:val="both"/>
      </w:pPr>
      <w:r>
        <w:rPr>
          <w:color w:val="000000"/>
        </w:rPr>
        <w:t xml:space="preserve">Conclusion: Both MET combined with NMCT and MWM combined with CS are effective in managing SIJD. However, the MET + NMCT combination demonstrated greater efficacy in reducing pain, improving </w:t>
      </w:r>
      <w:proofErr w:type="spellStart"/>
      <w:r>
        <w:rPr>
          <w:color w:val="000000"/>
        </w:rPr>
        <w:t>lumbopelvic</w:t>
      </w:r>
      <w:proofErr w:type="spellEnd"/>
      <w:r>
        <w:rPr>
          <w:color w:val="000000"/>
        </w:rPr>
        <w:t xml:space="preserve"> stability, and decreasing functional disability. These findings support the integration of MET and neuromuscular retraining as a preferred multimodal approach in clinical practice.</w:t>
      </w:r>
    </w:p>
    <w:p w14:paraId="08273C43" w14:textId="77777777" w:rsidR="00EC05A7" w:rsidRDefault="005A700D">
      <w:pPr>
        <w:spacing w:before="120" w:after="80" w:line="276" w:lineRule="auto"/>
        <w:jc w:val="both"/>
      </w:pPr>
      <w:r>
        <w:rPr>
          <w:i/>
          <w:iCs/>
          <w:color w:val="000000"/>
        </w:rPr>
        <w:t xml:space="preserve">Keywords: Sacroiliac joint dysfunction, Muscle Energy Technique, Mobilization with Movement, Neuromuscular Control, Core Stabilization, </w:t>
      </w:r>
      <w:proofErr w:type="spellStart"/>
      <w:r>
        <w:rPr>
          <w:i/>
          <w:iCs/>
          <w:color w:val="000000"/>
        </w:rPr>
        <w:t>Lumbopelvic</w:t>
      </w:r>
      <w:proofErr w:type="spellEnd"/>
      <w:r>
        <w:rPr>
          <w:i/>
          <w:iCs/>
          <w:color w:val="000000"/>
        </w:rPr>
        <w:t xml:space="preserve"> stability, Functional disability</w:t>
      </w:r>
    </w:p>
    <w:p w14:paraId="643F8E62" w14:textId="77777777" w:rsidR="00EC05A7" w:rsidRDefault="005A700D">
      <w:pPr>
        <w:pBdr>
          <w:bottom w:val="single" w:sz="6" w:space="4" w:color="1F497D"/>
        </w:pBdr>
        <w:spacing w:before="200" w:after="100"/>
      </w:pPr>
      <w:r>
        <w:rPr>
          <w:rFonts w:ascii="Arial" w:eastAsia="Arial" w:hAnsi="Arial" w:cs="Arial"/>
          <w:b/>
          <w:bCs/>
          <w:caps/>
          <w:color w:val="1F497D"/>
          <w:sz w:val="22"/>
          <w:szCs w:val="22"/>
        </w:rPr>
        <w:t>I. INTRODUCTION</w:t>
      </w:r>
    </w:p>
    <w:p w14:paraId="754640B5" w14:textId="77777777" w:rsidR="00EC05A7" w:rsidRDefault="005A700D">
      <w:pPr>
        <w:spacing w:before="100" w:after="80" w:line="276" w:lineRule="auto"/>
        <w:ind w:firstLine="720"/>
        <w:jc w:val="both"/>
      </w:pPr>
      <w:r>
        <w:rPr>
          <w:color w:val="000000"/>
        </w:rPr>
        <w:t xml:space="preserve">Sacroiliac joint dysfunction (SIJD) is increasingly recognized as a significant source of low back and pelvic girdle pain, accounting for approximately 15–30% of all chronic low back pain presentations [1]. The sacroiliac joint (SIJ), a </w:t>
      </w:r>
      <w:proofErr w:type="spellStart"/>
      <w:r>
        <w:rPr>
          <w:color w:val="000000"/>
        </w:rPr>
        <w:t>diarthrodial</w:t>
      </w:r>
      <w:proofErr w:type="spellEnd"/>
      <w:r>
        <w:rPr>
          <w:color w:val="000000"/>
        </w:rPr>
        <w:t xml:space="preserve"> joint connecting the sacrum to the iliac bones of the pelvis, plays a critical role in load transfer between the spine and lower extremities [2]. Dysfunction at this joint may arise from altered joint mechanics, ligamentous laxity, muscular imbalances, or inflammatory processes, resulting in pain, reduced mobility, and impaired functional performance.</w:t>
      </w:r>
    </w:p>
    <w:p w14:paraId="232D4A4E" w14:textId="77777777" w:rsidR="00EC05A7" w:rsidRDefault="005A700D">
      <w:pPr>
        <w:spacing w:before="80" w:after="80" w:line="276" w:lineRule="auto"/>
        <w:ind w:firstLine="720"/>
        <w:jc w:val="both"/>
      </w:pPr>
      <w:r>
        <w:rPr>
          <w:color w:val="000000"/>
        </w:rPr>
        <w:t>Clinically, SIJD presents with unilateral or bilateral pain in the posterior pelvic region, often radiating to the buttock and posterior thigh. Diagnosis remains challenging due to overlapping clinical presentations with lumbar spine pathologies. Provocation tests such as the FABER, POSTERIOR SHEAR (thigh thrust), and Gillet tests, combined with three or more positive provocative signs, are widely used to confirm SIJD [3,4].</w:t>
      </w:r>
    </w:p>
    <w:p w14:paraId="1B88510E" w14:textId="77777777" w:rsidR="00EC05A7" w:rsidRDefault="005A700D">
      <w:pPr>
        <w:spacing w:before="80" w:after="80" w:line="276" w:lineRule="auto"/>
        <w:ind w:firstLine="720"/>
        <w:jc w:val="both"/>
      </w:pPr>
      <w:r>
        <w:rPr>
          <w:color w:val="000000"/>
        </w:rPr>
        <w:t xml:space="preserve">The management of SIJD encompasses a broad spectrum of conservative interventions including manual therapy, therapeutic exercise, stabilization training, and multimodal physiotherapy programs. Among manual therapy techniques, Muscle </w:t>
      </w:r>
      <w:r>
        <w:rPr>
          <w:color w:val="000000"/>
        </w:rPr>
        <w:lastRenderedPageBreak/>
        <w:t>Energy Technique (MET) and Mulligan's Mobilization with Movement (MWM) have gained considerable attention for their role in restoring joint mobility and reducing pain [5,6].</w:t>
      </w:r>
    </w:p>
    <w:p w14:paraId="579A3AD6" w14:textId="77777777" w:rsidR="00EC05A7" w:rsidRDefault="005A700D">
      <w:pPr>
        <w:spacing w:before="80" w:after="80" w:line="276" w:lineRule="auto"/>
        <w:ind w:firstLine="720"/>
        <w:jc w:val="both"/>
      </w:pPr>
      <w:r>
        <w:rPr>
          <w:color w:val="000000"/>
        </w:rPr>
        <w:t xml:space="preserve">MET is a form of osteopathic manual therapy that employs voluntary isometric contraction of the patient's muscles against a precisely controlled counterforce applied by the clinician, followed by passive mobilization into the newly gained range of motion [7]. It is hypothesized to exert its effects through neurophysiological mechanisms, including autogenic and reciprocal inhibition, which reduce muscle </w:t>
      </w:r>
      <w:proofErr w:type="spellStart"/>
      <w:r>
        <w:rPr>
          <w:color w:val="000000"/>
        </w:rPr>
        <w:t>hypertonicity</w:t>
      </w:r>
      <w:proofErr w:type="spellEnd"/>
      <w:r>
        <w:rPr>
          <w:color w:val="000000"/>
        </w:rPr>
        <w:t xml:space="preserve"> and restore articular alignment. For SIJD, MET targeting the iliopsoas, piriformis, and gluteal musculature has been shown to effectively reduce pain and improve pelvic symmetry [8].</w:t>
      </w:r>
    </w:p>
    <w:p w14:paraId="52CFF8C9" w14:textId="77777777" w:rsidR="00EC05A7" w:rsidRDefault="005A700D">
      <w:pPr>
        <w:spacing w:before="80" w:after="80" w:line="276" w:lineRule="auto"/>
        <w:ind w:firstLine="720"/>
        <w:jc w:val="both"/>
      </w:pPr>
      <w:r>
        <w:rPr>
          <w:color w:val="000000"/>
        </w:rPr>
        <w:t xml:space="preserve">Neuromuscular Control Training (NMCT) focuses on the restoration of coordinated muscular activation patterns around the </w:t>
      </w:r>
      <w:proofErr w:type="spellStart"/>
      <w:r>
        <w:rPr>
          <w:color w:val="000000"/>
        </w:rPr>
        <w:t>lumbopelvic</w:t>
      </w:r>
      <w:proofErr w:type="spellEnd"/>
      <w:r>
        <w:rPr>
          <w:color w:val="000000"/>
        </w:rPr>
        <w:t xml:space="preserve"> complex. SIJD is often associated with delayed or altered activation of the </w:t>
      </w:r>
      <w:proofErr w:type="spellStart"/>
      <w:r>
        <w:rPr>
          <w:color w:val="000000"/>
        </w:rPr>
        <w:t>transversus</w:t>
      </w:r>
      <w:proofErr w:type="spellEnd"/>
      <w:r>
        <w:rPr>
          <w:color w:val="000000"/>
        </w:rPr>
        <w:t xml:space="preserve"> abdominis, </w:t>
      </w:r>
      <w:proofErr w:type="spellStart"/>
      <w:r>
        <w:rPr>
          <w:color w:val="000000"/>
        </w:rPr>
        <w:t>multifidus</w:t>
      </w:r>
      <w:proofErr w:type="spellEnd"/>
      <w:r>
        <w:rPr>
          <w:color w:val="000000"/>
        </w:rPr>
        <w:t>, and pelvic floor musculature, collectively forming the 'inner unit' of the core [9]. NMCT aims to re-establish optimal neuromuscular recruitment strategies to improve dynamic joint stability and proprioception, thereby reducing mechanical stress on the SIJ.</w:t>
      </w:r>
    </w:p>
    <w:p w14:paraId="0F881715" w14:textId="77777777" w:rsidR="00EC05A7" w:rsidRDefault="005A700D">
      <w:pPr>
        <w:spacing w:before="80" w:after="80" w:line="276" w:lineRule="auto"/>
        <w:ind w:firstLine="720"/>
        <w:jc w:val="both"/>
      </w:pPr>
      <w:r>
        <w:rPr>
          <w:color w:val="000000"/>
        </w:rPr>
        <w:t>Mulligan's Mobilization with Movement (MWM), introduced by Brian Mulligan, combines a sustained manual accessory force applied by the therapist with an active physiological movement performed by the patient [10]. The technique is thought to correct minor articular positional faults and restore normal afferent input, resulting in immediate pain relief and restored movement. Applied to the SIJ, MWM has demonstrated clinically meaningful improvements in pain and mobility [11].</w:t>
      </w:r>
    </w:p>
    <w:p w14:paraId="72EA2EDB" w14:textId="77777777" w:rsidR="00EC05A7" w:rsidRDefault="005A700D">
      <w:pPr>
        <w:spacing w:before="80" w:after="80" w:line="276" w:lineRule="auto"/>
        <w:ind w:firstLine="720"/>
        <w:jc w:val="both"/>
      </w:pPr>
      <w:r>
        <w:rPr>
          <w:color w:val="000000"/>
        </w:rPr>
        <w:t xml:space="preserve">Core Stabilization (CS) training, directed at the deep and superficial muscles of the lumbar spine and pelvis, has been widely adopted in the rehabilitation of </w:t>
      </w:r>
      <w:proofErr w:type="spellStart"/>
      <w:r>
        <w:rPr>
          <w:color w:val="000000"/>
        </w:rPr>
        <w:t>lumbopelvic</w:t>
      </w:r>
      <w:proofErr w:type="spellEnd"/>
      <w:r>
        <w:rPr>
          <w:color w:val="000000"/>
        </w:rPr>
        <w:t xml:space="preserve"> pain conditions. Targeted activation of the </w:t>
      </w:r>
      <w:proofErr w:type="spellStart"/>
      <w:r>
        <w:rPr>
          <w:color w:val="000000"/>
        </w:rPr>
        <w:t>transversus</w:t>
      </w:r>
      <w:proofErr w:type="spellEnd"/>
      <w:r>
        <w:rPr>
          <w:color w:val="000000"/>
        </w:rPr>
        <w:t xml:space="preserve"> abdominis, lumbar </w:t>
      </w:r>
      <w:proofErr w:type="spellStart"/>
      <w:r>
        <w:rPr>
          <w:color w:val="000000"/>
        </w:rPr>
        <w:t>multifidus</w:t>
      </w:r>
      <w:proofErr w:type="spellEnd"/>
      <w:r>
        <w:rPr>
          <w:color w:val="000000"/>
        </w:rPr>
        <w:t>, and hip stabilizers enhances force closure of the SIJ and reduces aberrant motion [12]. While numerous studies have evaluated individual techniques, comparative evidence on the additive effects of combining MET with NMCT versus MWM with CS remains scarce.</w:t>
      </w:r>
    </w:p>
    <w:p w14:paraId="1D148A89" w14:textId="77777777" w:rsidR="00EC05A7" w:rsidRDefault="005A700D">
      <w:pPr>
        <w:spacing w:before="80" w:after="80" w:line="276" w:lineRule="auto"/>
        <w:ind w:firstLine="720"/>
        <w:jc w:val="both"/>
      </w:pPr>
      <w:r>
        <w:rPr>
          <w:color w:val="000000"/>
        </w:rPr>
        <w:t xml:space="preserve">The present study was therefore designed to compare the short-term effectiveness of MET combined with NMCT versus MWM combined with CS on pain, </w:t>
      </w:r>
      <w:proofErr w:type="spellStart"/>
      <w:r>
        <w:rPr>
          <w:color w:val="000000"/>
        </w:rPr>
        <w:t>lumbopelvic</w:t>
      </w:r>
      <w:proofErr w:type="spellEnd"/>
      <w:r>
        <w:rPr>
          <w:color w:val="000000"/>
        </w:rPr>
        <w:t xml:space="preserve"> stability, and functional disability in patients diagnosed with SIJD. The findings aim to guide clinicians in selecting optimal multimodal physiotherapy protocols for this patient population.</w:t>
      </w:r>
    </w:p>
    <w:p w14:paraId="381370BA" w14:textId="77777777" w:rsidR="00EC05A7" w:rsidRDefault="005A700D">
      <w:pPr>
        <w:pBdr>
          <w:bottom w:val="single" w:sz="6" w:space="4" w:color="1F497D"/>
        </w:pBdr>
        <w:spacing w:before="200" w:after="100"/>
      </w:pPr>
      <w:r>
        <w:rPr>
          <w:rFonts w:ascii="Arial" w:eastAsia="Arial" w:hAnsi="Arial" w:cs="Arial"/>
          <w:b/>
          <w:bCs/>
          <w:caps/>
          <w:color w:val="1F497D"/>
          <w:sz w:val="22"/>
          <w:szCs w:val="22"/>
        </w:rPr>
        <w:t>II. MATERIALS AND METHODS</w:t>
      </w:r>
    </w:p>
    <w:p w14:paraId="5CD869EF" w14:textId="77777777" w:rsidR="00EC05A7" w:rsidRDefault="005A700D">
      <w:pPr>
        <w:spacing w:before="140" w:after="60" w:line="276" w:lineRule="auto"/>
        <w:jc w:val="both"/>
      </w:pPr>
      <w:r>
        <w:rPr>
          <w:rFonts w:ascii="Arial" w:eastAsia="Arial" w:hAnsi="Arial" w:cs="Arial"/>
          <w:b/>
          <w:bCs/>
          <w:color w:val="1F497D"/>
        </w:rPr>
        <w:t>2.1 Study Design</w:t>
      </w:r>
    </w:p>
    <w:p w14:paraId="7564D1E8" w14:textId="03D07085" w:rsidR="00EC05A7" w:rsidRDefault="005A700D">
      <w:pPr>
        <w:spacing w:before="80" w:after="80" w:line="276" w:lineRule="auto"/>
        <w:ind w:firstLine="720"/>
        <w:jc w:val="both"/>
      </w:pPr>
      <w:r>
        <w:rPr>
          <w:color w:val="000000"/>
        </w:rPr>
        <w:t>A prospective, single-blind, randomized controlled trial was conducted from January 202</w:t>
      </w:r>
      <w:r w:rsidR="008B68EB">
        <w:rPr>
          <w:color w:val="000000"/>
        </w:rPr>
        <w:t xml:space="preserve">5 </w:t>
      </w:r>
      <w:r>
        <w:rPr>
          <w:color w:val="000000"/>
        </w:rPr>
        <w:t>to December 202</w:t>
      </w:r>
      <w:r w:rsidR="008B68EB">
        <w:rPr>
          <w:color w:val="000000"/>
        </w:rPr>
        <w:t>5</w:t>
      </w:r>
      <w:r w:rsidR="002D57FE">
        <w:rPr>
          <w:color w:val="000000"/>
        </w:rPr>
        <w:t xml:space="preserve"> </w:t>
      </w:r>
      <w:r>
        <w:rPr>
          <w:color w:val="000000"/>
        </w:rPr>
        <w:t>in the Physiotherapy Outpatient Dep</w:t>
      </w:r>
      <w:r w:rsidR="008C709E">
        <w:rPr>
          <w:color w:val="000000"/>
        </w:rPr>
        <w:t>artment.</w:t>
      </w:r>
      <w:r>
        <w:rPr>
          <w:color w:val="000000"/>
        </w:rPr>
        <w:t xml:space="preserve"> The study followed the CONSORT 2010 guidelines for randomized trials and was approved by the Institutional Ethics Committee </w:t>
      </w:r>
      <w:r>
        <w:rPr>
          <w:color w:val="000000"/>
        </w:rPr>
        <w:t>.</w:t>
      </w:r>
    </w:p>
    <w:p w14:paraId="37D5BA8D" w14:textId="77777777" w:rsidR="00EC05A7" w:rsidRDefault="005A700D">
      <w:pPr>
        <w:spacing w:before="140" w:after="60" w:line="276" w:lineRule="auto"/>
        <w:jc w:val="both"/>
      </w:pPr>
      <w:r>
        <w:rPr>
          <w:rFonts w:ascii="Arial" w:eastAsia="Arial" w:hAnsi="Arial" w:cs="Arial"/>
          <w:b/>
          <w:bCs/>
          <w:color w:val="1F497D"/>
        </w:rPr>
        <w:t>2.2 Participants</w:t>
      </w:r>
    </w:p>
    <w:p w14:paraId="1D628413" w14:textId="77777777" w:rsidR="00EC05A7" w:rsidRDefault="005A700D">
      <w:pPr>
        <w:spacing w:before="80" w:after="80" w:line="276" w:lineRule="auto"/>
        <w:ind w:firstLine="720"/>
        <w:jc w:val="both"/>
      </w:pPr>
      <w:r>
        <w:rPr>
          <w:color w:val="000000"/>
        </w:rPr>
        <w:t xml:space="preserve">Sixty patients aged 25–55 years with a clinical diagnosis of SIJD were recruited through consecutive sampling. SIJD was confirmed by the presence of three or more positive SIJ provocation tests (Posterior Shear/Thigh Thrust, FABER, Distraction, Compression, and </w:t>
      </w:r>
      <w:proofErr w:type="spellStart"/>
      <w:r>
        <w:rPr>
          <w:color w:val="000000"/>
        </w:rPr>
        <w:t>Gaenslen's</w:t>
      </w:r>
      <w:proofErr w:type="spellEnd"/>
      <w:r>
        <w:rPr>
          <w:color w:val="000000"/>
        </w:rPr>
        <w:t xml:space="preserve"> test) and absence of radiological evidence of other spinal or hip pathologies.</w:t>
      </w:r>
    </w:p>
    <w:p w14:paraId="67718000" w14:textId="77777777" w:rsidR="00EC05A7" w:rsidRDefault="005A700D">
      <w:pPr>
        <w:spacing w:before="80" w:after="80" w:line="276" w:lineRule="auto"/>
        <w:jc w:val="both"/>
      </w:pPr>
      <w:r>
        <w:rPr>
          <w:b/>
          <w:bCs/>
          <w:color w:val="000000"/>
        </w:rPr>
        <w:t>Inclusion Criteria:</w:t>
      </w:r>
    </w:p>
    <w:p w14:paraId="08487B8F" w14:textId="77777777" w:rsidR="00EC05A7" w:rsidRDefault="005A700D">
      <w:pPr>
        <w:spacing w:before="80" w:after="80" w:line="276" w:lineRule="auto"/>
        <w:jc w:val="both"/>
      </w:pPr>
      <w:r>
        <w:rPr>
          <w:color w:val="000000"/>
        </w:rPr>
        <w:t>• Age 25–55 years; either sex</w:t>
      </w:r>
    </w:p>
    <w:p w14:paraId="5FB8E494" w14:textId="77777777" w:rsidR="00EC05A7" w:rsidRDefault="005A700D">
      <w:pPr>
        <w:spacing w:before="80" w:after="80" w:line="276" w:lineRule="auto"/>
        <w:jc w:val="both"/>
      </w:pPr>
      <w:r>
        <w:rPr>
          <w:color w:val="000000"/>
        </w:rPr>
        <w:t>• Clinical diagnosis of SIJD with ≥3 positive provocation tests</w:t>
      </w:r>
    </w:p>
    <w:p w14:paraId="5325F47B" w14:textId="77777777" w:rsidR="00EC05A7" w:rsidRDefault="005A700D">
      <w:pPr>
        <w:spacing w:before="80" w:after="80" w:line="276" w:lineRule="auto"/>
        <w:jc w:val="both"/>
      </w:pPr>
      <w:r>
        <w:rPr>
          <w:color w:val="000000"/>
        </w:rPr>
        <w:t>• NPRS score ≥ 3/10</w:t>
      </w:r>
    </w:p>
    <w:p w14:paraId="7220F00B" w14:textId="77777777" w:rsidR="00EC05A7" w:rsidRDefault="005A700D">
      <w:pPr>
        <w:spacing w:before="80" w:after="80" w:line="276" w:lineRule="auto"/>
        <w:jc w:val="both"/>
      </w:pPr>
      <w:r>
        <w:rPr>
          <w:color w:val="000000"/>
        </w:rPr>
        <w:t>• Duration of symptoms ≥ 4 weeks</w:t>
      </w:r>
    </w:p>
    <w:p w14:paraId="74A5BC45" w14:textId="77777777" w:rsidR="00EC05A7" w:rsidRDefault="005A700D">
      <w:pPr>
        <w:spacing w:before="80" w:after="80" w:line="276" w:lineRule="auto"/>
        <w:jc w:val="both"/>
      </w:pPr>
      <w:r>
        <w:rPr>
          <w:color w:val="000000"/>
        </w:rPr>
        <w:t>• Willing to participate and provide informed consent</w:t>
      </w:r>
    </w:p>
    <w:p w14:paraId="1534A106" w14:textId="77777777" w:rsidR="00EC05A7" w:rsidRDefault="005A700D">
      <w:pPr>
        <w:spacing w:before="100" w:after="80" w:line="276" w:lineRule="auto"/>
        <w:jc w:val="both"/>
      </w:pPr>
      <w:r>
        <w:rPr>
          <w:b/>
          <w:bCs/>
          <w:color w:val="000000"/>
        </w:rPr>
        <w:t>Exclusion Criteria:</w:t>
      </w:r>
    </w:p>
    <w:p w14:paraId="1F1223B2" w14:textId="77777777" w:rsidR="00EC05A7" w:rsidRDefault="005A700D">
      <w:pPr>
        <w:spacing w:before="80" w:after="80" w:line="276" w:lineRule="auto"/>
        <w:jc w:val="both"/>
      </w:pPr>
      <w:r>
        <w:rPr>
          <w:color w:val="000000"/>
        </w:rPr>
        <w:t>• History of lumbar spine or pelvic fracture</w:t>
      </w:r>
    </w:p>
    <w:p w14:paraId="15F02634" w14:textId="77777777" w:rsidR="00EC05A7" w:rsidRDefault="005A700D">
      <w:pPr>
        <w:spacing w:before="80" w:after="80" w:line="276" w:lineRule="auto"/>
        <w:jc w:val="both"/>
      </w:pPr>
      <w:r>
        <w:rPr>
          <w:color w:val="000000"/>
        </w:rPr>
        <w:t>• Inflammatory arthritis (ankylosing spondylitis, rheumatoid arthritis)</w:t>
      </w:r>
    </w:p>
    <w:p w14:paraId="38F657C2" w14:textId="77777777" w:rsidR="00EC05A7" w:rsidRDefault="005A700D">
      <w:pPr>
        <w:spacing w:before="80" w:after="80" w:line="276" w:lineRule="auto"/>
        <w:jc w:val="both"/>
      </w:pPr>
      <w:r>
        <w:rPr>
          <w:color w:val="000000"/>
        </w:rPr>
        <w:t>• Previous lumbar/pelvic surgery</w:t>
      </w:r>
    </w:p>
    <w:p w14:paraId="5D917029" w14:textId="77777777" w:rsidR="00EC05A7" w:rsidRDefault="005A700D">
      <w:pPr>
        <w:spacing w:before="80" w:after="80" w:line="276" w:lineRule="auto"/>
        <w:jc w:val="both"/>
      </w:pPr>
      <w:r>
        <w:rPr>
          <w:color w:val="000000"/>
        </w:rPr>
        <w:t>• Pregnancy or within 6 months postpartum</w:t>
      </w:r>
    </w:p>
    <w:p w14:paraId="2F88C810" w14:textId="77777777" w:rsidR="00EC05A7" w:rsidRDefault="005A700D">
      <w:pPr>
        <w:spacing w:before="80" w:after="80" w:line="276" w:lineRule="auto"/>
        <w:jc w:val="both"/>
      </w:pPr>
      <w:r>
        <w:rPr>
          <w:color w:val="000000"/>
        </w:rPr>
        <w:t>• Neurological deficits in lower extremities</w:t>
      </w:r>
    </w:p>
    <w:p w14:paraId="2D6FC842" w14:textId="77777777" w:rsidR="00EC05A7" w:rsidRDefault="005A700D">
      <w:pPr>
        <w:spacing w:before="80" w:after="80" w:line="276" w:lineRule="auto"/>
        <w:jc w:val="both"/>
      </w:pPr>
      <w:r>
        <w:rPr>
          <w:color w:val="000000"/>
        </w:rPr>
        <w:lastRenderedPageBreak/>
        <w:t>• Corticosteroid injection to SIJ within preceding 3 months</w:t>
      </w:r>
    </w:p>
    <w:p w14:paraId="34625987" w14:textId="77777777" w:rsidR="00EC05A7" w:rsidRDefault="005A700D">
      <w:pPr>
        <w:spacing w:before="140" w:after="60" w:line="276" w:lineRule="auto"/>
        <w:jc w:val="both"/>
      </w:pPr>
      <w:r>
        <w:rPr>
          <w:rFonts w:ascii="Arial" w:eastAsia="Arial" w:hAnsi="Arial" w:cs="Arial"/>
          <w:b/>
          <w:bCs/>
          <w:color w:val="1F497D"/>
        </w:rPr>
        <w:t>2.3 Randomization and Blinding</w:t>
      </w:r>
    </w:p>
    <w:p w14:paraId="3C1169CF" w14:textId="77777777" w:rsidR="00EC05A7" w:rsidRDefault="005A700D">
      <w:pPr>
        <w:spacing w:before="80" w:after="80" w:line="276" w:lineRule="auto"/>
        <w:ind w:firstLine="720"/>
        <w:jc w:val="both"/>
      </w:pPr>
      <w:r>
        <w:rPr>
          <w:color w:val="000000"/>
        </w:rPr>
        <w:t>Participants were randomly allocated into two groups using computer-generated random numbers with sealed opaque envelopes. Group A received MET combined with NMCT (n = 30), and Group B received MWM combined with CS (n = 30). Outcome assessors were blinded to group allocation; however, complete blinding of treating therapists and participants was not feasible due to the nature of the interventions.</w:t>
      </w:r>
    </w:p>
    <w:p w14:paraId="0314F4E8" w14:textId="77777777" w:rsidR="00EC05A7" w:rsidRDefault="005A700D">
      <w:pPr>
        <w:spacing w:before="140" w:after="60" w:line="276" w:lineRule="auto"/>
        <w:jc w:val="both"/>
      </w:pPr>
      <w:r>
        <w:rPr>
          <w:rFonts w:ascii="Arial" w:eastAsia="Arial" w:hAnsi="Arial" w:cs="Arial"/>
          <w:b/>
          <w:bCs/>
          <w:color w:val="1F497D"/>
        </w:rPr>
        <w:t>2.4 Interventions</w:t>
      </w:r>
    </w:p>
    <w:p w14:paraId="56041F6D" w14:textId="77777777" w:rsidR="00EC05A7" w:rsidRDefault="005A700D">
      <w:pPr>
        <w:spacing w:before="80" w:after="80" w:line="276" w:lineRule="auto"/>
        <w:ind w:firstLine="720"/>
        <w:jc w:val="both"/>
      </w:pPr>
      <w:r>
        <w:rPr>
          <w:color w:val="000000"/>
        </w:rPr>
        <w:t>Both groups received 3 sessions per week for 4 weeks (12 sessions total), each lasting 45–50 minutes. All sessions were conducted by a licensed physiotherapist with postgraduate training in manual therapy.</w:t>
      </w:r>
    </w:p>
    <w:p w14:paraId="77368CD0" w14:textId="77777777" w:rsidR="00EC05A7" w:rsidRDefault="005A700D">
      <w:pPr>
        <w:spacing w:before="100" w:after="80" w:line="276" w:lineRule="auto"/>
        <w:jc w:val="both"/>
      </w:pPr>
      <w:r>
        <w:rPr>
          <w:b/>
          <w:bCs/>
          <w:color w:val="000000"/>
        </w:rPr>
        <w:t>Group A – MET + Neuromuscular Control Training:</w:t>
      </w:r>
    </w:p>
    <w:p w14:paraId="02C4EDD8" w14:textId="77777777" w:rsidR="00EC05A7" w:rsidRDefault="005A700D">
      <w:pPr>
        <w:spacing w:before="80" w:after="80" w:line="276" w:lineRule="auto"/>
        <w:ind w:firstLine="720"/>
        <w:jc w:val="both"/>
      </w:pPr>
      <w:r>
        <w:rPr>
          <w:color w:val="000000"/>
        </w:rPr>
        <w:t xml:space="preserve">MET was applied targeting SIJ-related musculature including the piriformis, iliopsoas, hip adductors, and gluteus </w:t>
      </w:r>
      <w:proofErr w:type="spellStart"/>
      <w:r>
        <w:rPr>
          <w:color w:val="000000"/>
        </w:rPr>
        <w:t>medius</w:t>
      </w:r>
      <w:proofErr w:type="spellEnd"/>
      <w:r>
        <w:rPr>
          <w:color w:val="000000"/>
        </w:rPr>
        <w:t>. Each technique involved a 5-second isometric contraction at 20–30% of maximal voluntary contraction followed by 10 seconds of passive stretch, repeated 3–5 times per muscle. Post-isometric relaxation (PIR) and reciprocal inhibition (RI) techniques were selected based on the clinical presentation.</w:t>
      </w:r>
    </w:p>
    <w:p w14:paraId="57E528B2" w14:textId="77777777" w:rsidR="00EC05A7" w:rsidRDefault="005A700D">
      <w:pPr>
        <w:spacing w:before="80" w:after="80" w:line="276" w:lineRule="auto"/>
        <w:ind w:firstLine="720"/>
        <w:jc w:val="both"/>
      </w:pPr>
      <w:r>
        <w:rPr>
          <w:color w:val="000000"/>
        </w:rPr>
        <w:t xml:space="preserve">NMCT comprised a progressive 3-phase protocol: (1) isolated activation of </w:t>
      </w:r>
      <w:proofErr w:type="spellStart"/>
      <w:r>
        <w:rPr>
          <w:color w:val="000000"/>
        </w:rPr>
        <w:t>transversus</w:t>
      </w:r>
      <w:proofErr w:type="spellEnd"/>
      <w:r>
        <w:rPr>
          <w:color w:val="000000"/>
        </w:rPr>
        <w:t xml:space="preserve"> abdominis (</w:t>
      </w:r>
      <w:proofErr w:type="spellStart"/>
      <w:r>
        <w:rPr>
          <w:color w:val="000000"/>
        </w:rPr>
        <w:t>TrA</w:t>
      </w:r>
      <w:proofErr w:type="spellEnd"/>
      <w:r>
        <w:rPr>
          <w:color w:val="000000"/>
        </w:rPr>
        <w:t xml:space="preserve">) and lumbar </w:t>
      </w:r>
      <w:proofErr w:type="spellStart"/>
      <w:r>
        <w:rPr>
          <w:color w:val="000000"/>
        </w:rPr>
        <w:t>multifidus</w:t>
      </w:r>
      <w:proofErr w:type="spellEnd"/>
      <w:r>
        <w:rPr>
          <w:color w:val="000000"/>
        </w:rPr>
        <w:t xml:space="preserve"> using drawing-in maneuver and co-contraction exercises in supine; (2) functional integration with dead bug, bird-dog, and </w:t>
      </w:r>
      <w:proofErr w:type="spellStart"/>
      <w:r>
        <w:rPr>
          <w:color w:val="000000"/>
        </w:rPr>
        <w:t>sidelying</w:t>
      </w:r>
      <w:proofErr w:type="spellEnd"/>
      <w:r>
        <w:rPr>
          <w:color w:val="000000"/>
        </w:rPr>
        <w:t xml:space="preserve"> clam exercises; and (3) task-specific balance and proprioceptive training on unstable surfaces.</w:t>
      </w:r>
    </w:p>
    <w:p w14:paraId="0D571B79" w14:textId="77777777" w:rsidR="00EC05A7" w:rsidRDefault="005A700D">
      <w:pPr>
        <w:spacing w:before="100" w:after="80" w:line="276" w:lineRule="auto"/>
        <w:jc w:val="both"/>
      </w:pPr>
      <w:r>
        <w:rPr>
          <w:b/>
          <w:bCs/>
          <w:color w:val="000000"/>
        </w:rPr>
        <w:t>Group B – MWM + Core Stabilization:</w:t>
      </w:r>
    </w:p>
    <w:p w14:paraId="61C59D2A" w14:textId="77777777" w:rsidR="00EC05A7" w:rsidRDefault="005A700D">
      <w:pPr>
        <w:spacing w:before="80" w:after="80" w:line="276" w:lineRule="auto"/>
        <w:ind w:firstLine="720"/>
        <w:jc w:val="both"/>
      </w:pPr>
      <w:r>
        <w:rPr>
          <w:color w:val="000000"/>
        </w:rPr>
        <w:t>Mulligan's MWM for the SIJ was applied with the patient in standing or supine. The therapist applied a sustained posterior-to-anterior or anterior-to-posterior accessory glide on the posterior superior iliac spine (PSIS) while the patient performed active hip flexion or weight-bearing movements. Three sets of 10 repetitions were performed per session.</w:t>
      </w:r>
    </w:p>
    <w:p w14:paraId="752B348A" w14:textId="77777777" w:rsidR="00EC05A7" w:rsidRDefault="005A700D">
      <w:pPr>
        <w:spacing w:before="80" w:after="80" w:line="276" w:lineRule="auto"/>
        <w:ind w:firstLine="720"/>
        <w:jc w:val="both"/>
      </w:pPr>
      <w:r>
        <w:rPr>
          <w:color w:val="000000"/>
        </w:rPr>
        <w:t xml:space="preserve">CS training followed a progressive protocol from non-weight-bearing to weight-bearing exercises: (1) pelvic tilts, bridging, and supine </w:t>
      </w:r>
      <w:proofErr w:type="spellStart"/>
      <w:r>
        <w:rPr>
          <w:color w:val="000000"/>
        </w:rPr>
        <w:t>TrA</w:t>
      </w:r>
      <w:proofErr w:type="spellEnd"/>
      <w:r>
        <w:rPr>
          <w:color w:val="000000"/>
        </w:rPr>
        <w:t xml:space="preserve"> activation; (2) quadruped, side plank, and wall squat progressions; and (3) dynamic weight-bearing activities with resistance.</w:t>
      </w:r>
    </w:p>
    <w:p w14:paraId="158B7BA2" w14:textId="77777777" w:rsidR="00EC05A7" w:rsidRDefault="005A700D">
      <w:pPr>
        <w:spacing w:before="140" w:after="60" w:line="276" w:lineRule="auto"/>
        <w:jc w:val="both"/>
      </w:pPr>
      <w:r>
        <w:rPr>
          <w:rFonts w:ascii="Arial" w:eastAsia="Arial" w:hAnsi="Arial" w:cs="Arial"/>
          <w:b/>
          <w:bCs/>
          <w:color w:val="1F497D"/>
        </w:rPr>
        <w:t>2.5 Outcome Measures</w:t>
      </w:r>
    </w:p>
    <w:p w14:paraId="2312C61A" w14:textId="77777777" w:rsidR="00EC05A7" w:rsidRDefault="005A700D">
      <w:pPr>
        <w:spacing w:before="80" w:after="80" w:line="276" w:lineRule="auto"/>
        <w:ind w:firstLine="720"/>
        <w:jc w:val="both"/>
      </w:pPr>
      <w:r>
        <w:rPr>
          <w:color w:val="000000"/>
        </w:rPr>
        <w:t>All outcomes were assessed at three time points: baseline (T0), 2 weeks (T1), and 4 weeks (T2).</w:t>
      </w:r>
    </w:p>
    <w:p w14:paraId="22469B87" w14:textId="77777777" w:rsidR="00EC05A7" w:rsidRDefault="005A700D">
      <w:pPr>
        <w:spacing w:before="80" w:after="80" w:line="276" w:lineRule="auto"/>
        <w:jc w:val="both"/>
      </w:pPr>
      <w:r>
        <w:rPr>
          <w:color w:val="000000"/>
        </w:rPr>
        <w:t>(</w:t>
      </w:r>
      <w:proofErr w:type="spellStart"/>
      <w:r>
        <w:rPr>
          <w:color w:val="000000"/>
        </w:rPr>
        <w:t>i</w:t>
      </w:r>
      <w:proofErr w:type="spellEnd"/>
      <w:r>
        <w:rPr>
          <w:color w:val="000000"/>
        </w:rPr>
        <w:t>) Numeric Pain Rating Scale (NPRS): An 11-point scale (0 = no pain, 10 = worst imaginable pain) with demonstrated reliability (ICC = 0.95–0.96) in musculoskeletal conditions.</w:t>
      </w:r>
    </w:p>
    <w:p w14:paraId="09C959D8" w14:textId="77777777" w:rsidR="00EC05A7" w:rsidRDefault="005A700D">
      <w:pPr>
        <w:spacing w:before="80" w:after="80" w:line="276" w:lineRule="auto"/>
        <w:jc w:val="both"/>
      </w:pPr>
      <w:r>
        <w:rPr>
          <w:color w:val="000000"/>
        </w:rPr>
        <w:t xml:space="preserve">(ii) Active Straight Leg Raise (ASLR) Test: A validated measure of </w:t>
      </w:r>
      <w:proofErr w:type="spellStart"/>
      <w:r>
        <w:rPr>
          <w:color w:val="000000"/>
        </w:rPr>
        <w:t>lumbopelvic</w:t>
      </w:r>
      <w:proofErr w:type="spellEnd"/>
      <w:r>
        <w:rPr>
          <w:color w:val="000000"/>
        </w:rPr>
        <w:t xml:space="preserve"> stability scored on a 6-point scale (0 = not difficult at all, 5 = unable to perform). The ASLR assesses the ability to transfer load through the </w:t>
      </w:r>
      <w:proofErr w:type="spellStart"/>
      <w:r>
        <w:rPr>
          <w:color w:val="000000"/>
        </w:rPr>
        <w:t>lumbopelvic</w:t>
      </w:r>
      <w:proofErr w:type="spellEnd"/>
      <w:r>
        <w:rPr>
          <w:color w:val="000000"/>
        </w:rPr>
        <w:t xml:space="preserve"> region and is sensitive to changes in SIJ stability (ICC = 0.87).</w:t>
      </w:r>
    </w:p>
    <w:p w14:paraId="0C88781B" w14:textId="77777777" w:rsidR="00EC05A7" w:rsidRDefault="005A700D">
      <w:pPr>
        <w:spacing w:before="80" w:after="80" w:line="276" w:lineRule="auto"/>
        <w:jc w:val="both"/>
      </w:pPr>
      <w:r>
        <w:rPr>
          <w:color w:val="000000"/>
        </w:rPr>
        <w:t xml:space="preserve">(iii) </w:t>
      </w:r>
      <w:proofErr w:type="spellStart"/>
      <w:r>
        <w:rPr>
          <w:color w:val="000000"/>
        </w:rPr>
        <w:t>Oswestry</w:t>
      </w:r>
      <w:proofErr w:type="spellEnd"/>
      <w:r>
        <w:rPr>
          <w:color w:val="000000"/>
        </w:rPr>
        <w:t xml:space="preserve"> Disability Index (ODI): A condition-specific self-report questionnaire with 10 items assessing functional limitation related to back pain, scored as a percentage (0–100%). Scores 0–20% indicate minimal disability; 41–60% indicate severe disability.</w:t>
      </w:r>
    </w:p>
    <w:p w14:paraId="6A7465F8" w14:textId="77777777" w:rsidR="00EC05A7" w:rsidRDefault="005A700D">
      <w:pPr>
        <w:spacing w:before="140" w:after="60" w:line="276" w:lineRule="auto"/>
        <w:jc w:val="both"/>
      </w:pPr>
      <w:r>
        <w:rPr>
          <w:rFonts w:ascii="Arial" w:eastAsia="Arial" w:hAnsi="Arial" w:cs="Arial"/>
          <w:b/>
          <w:bCs/>
          <w:color w:val="1F497D"/>
        </w:rPr>
        <w:t>2.6 Statistical Analysis</w:t>
      </w:r>
    </w:p>
    <w:p w14:paraId="0E78C3D9" w14:textId="77777777" w:rsidR="00EC05A7" w:rsidRDefault="005A700D">
      <w:pPr>
        <w:spacing w:before="80" w:after="80" w:line="276" w:lineRule="auto"/>
        <w:ind w:firstLine="720"/>
        <w:jc w:val="both"/>
      </w:pPr>
      <w:r>
        <w:rPr>
          <w:color w:val="000000"/>
        </w:rPr>
        <w:t xml:space="preserve">Statistical analysis was performed using SPSS version 26.0 (IBM, Armonk, NY). Continuous variables were expressed as mean ± standard deviation (SD). The Kolmogorov-Smirnov test confirmed normal distribution of data. Within-group changes across time points were analyzed using repeated measures ANOVA with </w:t>
      </w:r>
      <w:proofErr w:type="spellStart"/>
      <w:r>
        <w:rPr>
          <w:color w:val="000000"/>
        </w:rPr>
        <w:t>Bonferroni</w:t>
      </w:r>
      <w:proofErr w:type="spellEnd"/>
      <w:r>
        <w:rPr>
          <w:color w:val="000000"/>
        </w:rPr>
        <w:t xml:space="preserve"> post-hoc correction. Between-group differences at each time point were assessed using independent samples t-test. A p-value &lt; 0.05 was considered statistically significant. Effect sizes were calculated using partial eta-squared (η²). Sample size was calculated a priori based on a moderate effect size (d = 0.5), α = 0.05, and 80% power, yielding a minimum of 26 per group; 30 were enrolled per group to account for anticipated 15% attrition.</w:t>
      </w:r>
    </w:p>
    <w:p w14:paraId="49FE0CC3" w14:textId="77777777" w:rsidR="00EC05A7" w:rsidRDefault="005A700D">
      <w:pPr>
        <w:pBdr>
          <w:bottom w:val="single" w:sz="6" w:space="4" w:color="1F497D"/>
        </w:pBdr>
        <w:spacing w:before="200" w:after="100"/>
      </w:pPr>
      <w:r>
        <w:rPr>
          <w:rFonts w:ascii="Arial" w:eastAsia="Arial" w:hAnsi="Arial" w:cs="Arial"/>
          <w:b/>
          <w:bCs/>
          <w:caps/>
          <w:color w:val="1F497D"/>
          <w:sz w:val="22"/>
          <w:szCs w:val="22"/>
        </w:rPr>
        <w:t>III. RESULTS</w:t>
      </w:r>
    </w:p>
    <w:p w14:paraId="323C5FC5" w14:textId="77777777" w:rsidR="00EC05A7" w:rsidRDefault="005A700D">
      <w:pPr>
        <w:spacing w:before="140" w:after="60" w:line="276" w:lineRule="auto"/>
        <w:jc w:val="both"/>
      </w:pPr>
      <w:r>
        <w:rPr>
          <w:rFonts w:ascii="Arial" w:eastAsia="Arial" w:hAnsi="Arial" w:cs="Arial"/>
          <w:b/>
          <w:bCs/>
          <w:color w:val="1F497D"/>
        </w:rPr>
        <w:t>3.1 Baseline Characteristics</w:t>
      </w:r>
    </w:p>
    <w:p w14:paraId="5132D49E" w14:textId="77777777" w:rsidR="00EC05A7" w:rsidRDefault="005A700D">
      <w:pPr>
        <w:spacing w:before="80" w:after="80" w:line="276" w:lineRule="auto"/>
        <w:ind w:firstLine="720"/>
        <w:jc w:val="both"/>
      </w:pPr>
      <w:r>
        <w:rPr>
          <w:color w:val="000000"/>
        </w:rPr>
        <w:t>All 60 participants completed the study (zero attrition). There were no statistically significant differences in baseline demographic or clinical characteristics between the two groups (p &gt; 0.05), confirming successful randomization.</w:t>
      </w:r>
    </w:p>
    <w:p w14:paraId="26139940" w14:textId="77777777" w:rsidR="00EC05A7" w:rsidRDefault="005A700D">
      <w:pPr>
        <w:spacing w:before="120" w:after="60" w:line="276" w:lineRule="auto"/>
        <w:jc w:val="center"/>
      </w:pPr>
      <w:r>
        <w:rPr>
          <w:b/>
          <w:bCs/>
          <w:color w:val="000000"/>
        </w:rPr>
        <w:lastRenderedPageBreak/>
        <w:t>Table 1: Participant Flow Diagram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EC05A7" w14:paraId="615C31B5" w14:textId="77777777">
        <w:tblPrEx>
          <w:tblCellMar>
            <w:top w:w="0" w:type="dxa"/>
            <w:bottom w:w="0" w:type="dxa"/>
          </w:tblCellMar>
        </w:tblPrEx>
        <w:tc>
          <w:tcPr>
            <w:tcW w:w="4680" w:type="dxa"/>
            <w:tcBorders>
              <w:top w:val="single" w:sz="4" w:space="0" w:color="AAAAAA"/>
              <w:left w:val="single" w:sz="4" w:space="0" w:color="AAAAAA"/>
              <w:bottom w:val="single" w:sz="4" w:space="0" w:color="AAAAAA"/>
              <w:right w:val="single" w:sz="4" w:space="0" w:color="AAAAAA"/>
            </w:tcBorders>
            <w:shd w:val="clear" w:color="auto" w:fill="1F497D"/>
            <w:tcMar>
              <w:top w:w="60" w:type="dxa"/>
              <w:left w:w="100" w:type="dxa"/>
              <w:bottom w:w="60" w:type="dxa"/>
              <w:right w:w="100" w:type="dxa"/>
            </w:tcMar>
            <w:vAlign w:val="center"/>
          </w:tcPr>
          <w:p w14:paraId="58EAFCA6" w14:textId="77777777" w:rsidR="00EC05A7" w:rsidRDefault="005A700D">
            <w:pPr>
              <w:jc w:val="center"/>
            </w:pPr>
            <w:r>
              <w:rPr>
                <w:rFonts w:ascii="Arial" w:eastAsia="Arial" w:hAnsi="Arial" w:cs="Arial"/>
                <w:b/>
                <w:bCs/>
                <w:color w:val="FFFFFF"/>
                <w:sz w:val="18"/>
                <w:szCs w:val="18"/>
              </w:rPr>
              <w:t>Study Stage</w:t>
            </w:r>
          </w:p>
        </w:tc>
        <w:tc>
          <w:tcPr>
            <w:tcW w:w="4680" w:type="dxa"/>
            <w:tcBorders>
              <w:top w:val="single" w:sz="4" w:space="0" w:color="AAAAAA"/>
              <w:left w:val="single" w:sz="4" w:space="0" w:color="AAAAAA"/>
              <w:bottom w:val="single" w:sz="4" w:space="0" w:color="AAAAAA"/>
              <w:right w:val="single" w:sz="4" w:space="0" w:color="AAAAAA"/>
            </w:tcBorders>
            <w:shd w:val="clear" w:color="auto" w:fill="1F497D"/>
            <w:tcMar>
              <w:top w:w="60" w:type="dxa"/>
              <w:left w:w="100" w:type="dxa"/>
              <w:bottom w:w="60" w:type="dxa"/>
              <w:right w:w="100" w:type="dxa"/>
            </w:tcMar>
            <w:vAlign w:val="center"/>
          </w:tcPr>
          <w:p w14:paraId="49EB4252" w14:textId="77777777" w:rsidR="00EC05A7" w:rsidRDefault="005A700D">
            <w:pPr>
              <w:jc w:val="center"/>
            </w:pPr>
            <w:r>
              <w:rPr>
                <w:rFonts w:ascii="Arial" w:eastAsia="Arial" w:hAnsi="Arial" w:cs="Arial"/>
                <w:b/>
                <w:bCs/>
                <w:color w:val="FFFFFF"/>
                <w:sz w:val="18"/>
                <w:szCs w:val="18"/>
              </w:rPr>
              <w:t>Number of Participants</w:t>
            </w:r>
          </w:p>
        </w:tc>
      </w:tr>
      <w:tr w:rsidR="00EC05A7" w14:paraId="1FB68E17" w14:textId="77777777">
        <w:tblPrEx>
          <w:tblCellMar>
            <w:top w:w="0" w:type="dxa"/>
            <w:bottom w:w="0" w:type="dxa"/>
          </w:tblCellMar>
        </w:tblPrEx>
        <w:tc>
          <w:tcPr>
            <w:tcW w:w="468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28EBD881" w14:textId="77777777" w:rsidR="00EC05A7" w:rsidRDefault="005A700D">
            <w:r>
              <w:rPr>
                <w:color w:val="000000"/>
                <w:sz w:val="18"/>
                <w:szCs w:val="18"/>
              </w:rPr>
              <w:t>Assessed for Eligibility</w:t>
            </w:r>
          </w:p>
        </w:tc>
        <w:tc>
          <w:tcPr>
            <w:tcW w:w="468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7ADD87FA" w14:textId="77777777" w:rsidR="00EC05A7" w:rsidRDefault="005A700D">
            <w:pPr>
              <w:jc w:val="center"/>
            </w:pPr>
            <w:r>
              <w:rPr>
                <w:color w:val="000000"/>
                <w:sz w:val="18"/>
                <w:szCs w:val="18"/>
              </w:rPr>
              <w:t>78</w:t>
            </w:r>
          </w:p>
        </w:tc>
      </w:tr>
      <w:tr w:rsidR="00EC05A7" w14:paraId="1042E65E" w14:textId="77777777">
        <w:tblPrEx>
          <w:tblCellMar>
            <w:top w:w="0" w:type="dxa"/>
            <w:bottom w:w="0" w:type="dxa"/>
          </w:tblCellMar>
        </w:tblPrEx>
        <w:tc>
          <w:tcPr>
            <w:tcW w:w="468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3975BD08" w14:textId="77777777" w:rsidR="00EC05A7" w:rsidRDefault="005A700D">
            <w:r>
              <w:rPr>
                <w:color w:val="000000"/>
                <w:sz w:val="18"/>
                <w:szCs w:val="18"/>
              </w:rPr>
              <w:t>Excluded (did not meet criteria)</w:t>
            </w:r>
          </w:p>
        </w:tc>
        <w:tc>
          <w:tcPr>
            <w:tcW w:w="468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74E1A9FB" w14:textId="77777777" w:rsidR="00EC05A7" w:rsidRDefault="005A700D">
            <w:pPr>
              <w:jc w:val="center"/>
            </w:pPr>
            <w:r>
              <w:rPr>
                <w:color w:val="000000"/>
                <w:sz w:val="18"/>
                <w:szCs w:val="18"/>
              </w:rPr>
              <w:t>18</w:t>
            </w:r>
          </w:p>
        </w:tc>
      </w:tr>
      <w:tr w:rsidR="00EC05A7" w14:paraId="39BBDD97" w14:textId="77777777">
        <w:tblPrEx>
          <w:tblCellMar>
            <w:top w:w="0" w:type="dxa"/>
            <w:bottom w:w="0" w:type="dxa"/>
          </w:tblCellMar>
        </w:tblPrEx>
        <w:tc>
          <w:tcPr>
            <w:tcW w:w="468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718C5214" w14:textId="77777777" w:rsidR="00EC05A7" w:rsidRDefault="005A700D">
            <w:r>
              <w:rPr>
                <w:color w:val="000000"/>
                <w:sz w:val="18"/>
                <w:szCs w:val="18"/>
              </w:rPr>
              <w:t>Randomized</w:t>
            </w:r>
          </w:p>
        </w:tc>
        <w:tc>
          <w:tcPr>
            <w:tcW w:w="468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2F35B05E" w14:textId="77777777" w:rsidR="00EC05A7" w:rsidRDefault="005A700D">
            <w:pPr>
              <w:jc w:val="center"/>
            </w:pPr>
            <w:r>
              <w:rPr>
                <w:color w:val="000000"/>
                <w:sz w:val="18"/>
                <w:szCs w:val="18"/>
              </w:rPr>
              <w:t>60</w:t>
            </w:r>
          </w:p>
        </w:tc>
      </w:tr>
      <w:tr w:rsidR="00EC05A7" w14:paraId="4DD33D21" w14:textId="77777777">
        <w:tblPrEx>
          <w:tblCellMar>
            <w:top w:w="0" w:type="dxa"/>
            <w:bottom w:w="0" w:type="dxa"/>
          </w:tblCellMar>
        </w:tblPrEx>
        <w:tc>
          <w:tcPr>
            <w:tcW w:w="468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7730C2B8" w14:textId="77777777" w:rsidR="00EC05A7" w:rsidRDefault="005A700D">
            <w:r>
              <w:rPr>
                <w:color w:val="000000"/>
                <w:sz w:val="18"/>
                <w:szCs w:val="18"/>
              </w:rPr>
              <w:t>Group A (MET + NMCT)</w:t>
            </w:r>
          </w:p>
        </w:tc>
        <w:tc>
          <w:tcPr>
            <w:tcW w:w="468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24AAF705" w14:textId="77777777" w:rsidR="00EC05A7" w:rsidRDefault="005A700D">
            <w:pPr>
              <w:jc w:val="center"/>
            </w:pPr>
            <w:r>
              <w:rPr>
                <w:color w:val="000000"/>
                <w:sz w:val="18"/>
                <w:szCs w:val="18"/>
              </w:rPr>
              <w:t>30</w:t>
            </w:r>
          </w:p>
        </w:tc>
      </w:tr>
      <w:tr w:rsidR="00EC05A7" w14:paraId="104EC337" w14:textId="77777777">
        <w:tblPrEx>
          <w:tblCellMar>
            <w:top w:w="0" w:type="dxa"/>
            <w:bottom w:w="0" w:type="dxa"/>
          </w:tblCellMar>
        </w:tblPrEx>
        <w:tc>
          <w:tcPr>
            <w:tcW w:w="468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3BDCEB50" w14:textId="77777777" w:rsidR="00EC05A7" w:rsidRDefault="005A700D">
            <w:r>
              <w:rPr>
                <w:color w:val="000000"/>
                <w:sz w:val="18"/>
                <w:szCs w:val="18"/>
              </w:rPr>
              <w:t>Group B (MWM + CS)</w:t>
            </w:r>
          </w:p>
        </w:tc>
        <w:tc>
          <w:tcPr>
            <w:tcW w:w="468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253C2B1D" w14:textId="77777777" w:rsidR="00EC05A7" w:rsidRDefault="005A700D">
            <w:pPr>
              <w:jc w:val="center"/>
            </w:pPr>
            <w:r>
              <w:rPr>
                <w:color w:val="000000"/>
                <w:sz w:val="18"/>
                <w:szCs w:val="18"/>
              </w:rPr>
              <w:t>30</w:t>
            </w:r>
          </w:p>
        </w:tc>
      </w:tr>
      <w:tr w:rsidR="00EC05A7" w14:paraId="5E131C27" w14:textId="77777777">
        <w:tblPrEx>
          <w:tblCellMar>
            <w:top w:w="0" w:type="dxa"/>
            <w:bottom w:w="0" w:type="dxa"/>
          </w:tblCellMar>
        </w:tblPrEx>
        <w:tc>
          <w:tcPr>
            <w:tcW w:w="468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38A3D9FD" w14:textId="77777777" w:rsidR="00EC05A7" w:rsidRDefault="005A700D">
            <w:r>
              <w:rPr>
                <w:color w:val="000000"/>
                <w:sz w:val="18"/>
                <w:szCs w:val="18"/>
              </w:rPr>
              <w:t>Completed 4-Week Follow-up</w:t>
            </w:r>
          </w:p>
        </w:tc>
        <w:tc>
          <w:tcPr>
            <w:tcW w:w="468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00EEA3EB" w14:textId="77777777" w:rsidR="00EC05A7" w:rsidRDefault="005A700D">
            <w:pPr>
              <w:jc w:val="center"/>
            </w:pPr>
            <w:r>
              <w:rPr>
                <w:color w:val="000000"/>
                <w:sz w:val="18"/>
                <w:szCs w:val="18"/>
              </w:rPr>
              <w:t>60 (100%)</w:t>
            </w:r>
          </w:p>
        </w:tc>
      </w:tr>
    </w:tbl>
    <w:p w14:paraId="1E2BDD56" w14:textId="77777777" w:rsidR="00EC05A7" w:rsidRDefault="00EC05A7">
      <w:pPr>
        <w:spacing w:before="40" w:after="60" w:line="276" w:lineRule="auto"/>
        <w:jc w:val="both"/>
      </w:pPr>
    </w:p>
    <w:p w14:paraId="13D6F108" w14:textId="77777777" w:rsidR="00EC05A7" w:rsidRDefault="005A700D">
      <w:pPr>
        <w:spacing w:before="120" w:after="60" w:line="276" w:lineRule="auto"/>
        <w:jc w:val="center"/>
      </w:pPr>
      <w:r>
        <w:rPr>
          <w:b/>
          <w:bCs/>
          <w:color w:val="000000"/>
        </w:rPr>
        <w:t>Table 2: Baseline Demographic and Clinical Characteristics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EC05A7" w14:paraId="22EA91BD" w14:textId="77777777">
        <w:tblPrEx>
          <w:tblCellMar>
            <w:top w:w="0" w:type="dxa"/>
            <w:bottom w:w="0" w:type="dxa"/>
          </w:tblCellMar>
        </w:tblPrEx>
        <w:tc>
          <w:tcPr>
            <w:tcW w:w="2340" w:type="dxa"/>
            <w:tcBorders>
              <w:top w:val="single" w:sz="4" w:space="0" w:color="AAAAAA"/>
              <w:left w:val="single" w:sz="4" w:space="0" w:color="AAAAAA"/>
              <w:bottom w:val="single" w:sz="4" w:space="0" w:color="AAAAAA"/>
              <w:right w:val="single" w:sz="4" w:space="0" w:color="AAAAAA"/>
            </w:tcBorders>
            <w:shd w:val="clear" w:color="auto" w:fill="1F497D"/>
            <w:tcMar>
              <w:top w:w="60" w:type="dxa"/>
              <w:left w:w="100" w:type="dxa"/>
              <w:bottom w:w="60" w:type="dxa"/>
              <w:right w:w="100" w:type="dxa"/>
            </w:tcMar>
            <w:vAlign w:val="center"/>
          </w:tcPr>
          <w:p w14:paraId="37E969A4" w14:textId="77777777" w:rsidR="00EC05A7" w:rsidRDefault="005A700D">
            <w:pPr>
              <w:jc w:val="center"/>
            </w:pPr>
            <w:r>
              <w:rPr>
                <w:rFonts w:ascii="Arial" w:eastAsia="Arial" w:hAnsi="Arial" w:cs="Arial"/>
                <w:b/>
                <w:bCs/>
                <w:color w:val="FFFFFF"/>
                <w:sz w:val="18"/>
                <w:szCs w:val="18"/>
              </w:rPr>
              <w:t>Variable</w:t>
            </w:r>
          </w:p>
        </w:tc>
        <w:tc>
          <w:tcPr>
            <w:tcW w:w="2340" w:type="dxa"/>
            <w:tcBorders>
              <w:top w:val="single" w:sz="4" w:space="0" w:color="AAAAAA"/>
              <w:left w:val="single" w:sz="4" w:space="0" w:color="AAAAAA"/>
              <w:bottom w:val="single" w:sz="4" w:space="0" w:color="AAAAAA"/>
              <w:right w:val="single" w:sz="4" w:space="0" w:color="AAAAAA"/>
            </w:tcBorders>
            <w:shd w:val="clear" w:color="auto" w:fill="1F497D"/>
            <w:tcMar>
              <w:top w:w="60" w:type="dxa"/>
              <w:left w:w="100" w:type="dxa"/>
              <w:bottom w:w="60" w:type="dxa"/>
              <w:right w:w="100" w:type="dxa"/>
            </w:tcMar>
            <w:vAlign w:val="center"/>
          </w:tcPr>
          <w:p w14:paraId="10869917" w14:textId="77777777" w:rsidR="00EC05A7" w:rsidRDefault="005A700D">
            <w:pPr>
              <w:jc w:val="center"/>
            </w:pPr>
            <w:r>
              <w:rPr>
                <w:rFonts w:ascii="Arial" w:eastAsia="Arial" w:hAnsi="Arial" w:cs="Arial"/>
                <w:b/>
                <w:bCs/>
                <w:color w:val="FFFFFF"/>
                <w:sz w:val="18"/>
                <w:szCs w:val="18"/>
              </w:rPr>
              <w:t>Group A (MET+NMCT) n=30</w:t>
            </w:r>
          </w:p>
        </w:tc>
        <w:tc>
          <w:tcPr>
            <w:tcW w:w="2340" w:type="dxa"/>
            <w:tcBorders>
              <w:top w:val="single" w:sz="4" w:space="0" w:color="AAAAAA"/>
              <w:left w:val="single" w:sz="4" w:space="0" w:color="AAAAAA"/>
              <w:bottom w:val="single" w:sz="4" w:space="0" w:color="AAAAAA"/>
              <w:right w:val="single" w:sz="4" w:space="0" w:color="AAAAAA"/>
            </w:tcBorders>
            <w:shd w:val="clear" w:color="auto" w:fill="1F497D"/>
            <w:tcMar>
              <w:top w:w="60" w:type="dxa"/>
              <w:left w:w="100" w:type="dxa"/>
              <w:bottom w:w="60" w:type="dxa"/>
              <w:right w:w="100" w:type="dxa"/>
            </w:tcMar>
            <w:vAlign w:val="center"/>
          </w:tcPr>
          <w:p w14:paraId="16ABB909" w14:textId="77777777" w:rsidR="00EC05A7" w:rsidRDefault="005A700D">
            <w:pPr>
              <w:jc w:val="center"/>
            </w:pPr>
            <w:r>
              <w:rPr>
                <w:rFonts w:ascii="Arial" w:eastAsia="Arial" w:hAnsi="Arial" w:cs="Arial"/>
                <w:b/>
                <w:bCs/>
                <w:color w:val="FFFFFF"/>
                <w:sz w:val="18"/>
                <w:szCs w:val="18"/>
              </w:rPr>
              <w:t>Group B (MWM+CS) n=30</w:t>
            </w:r>
          </w:p>
        </w:tc>
        <w:tc>
          <w:tcPr>
            <w:tcW w:w="2340" w:type="dxa"/>
            <w:tcBorders>
              <w:top w:val="single" w:sz="4" w:space="0" w:color="AAAAAA"/>
              <w:left w:val="single" w:sz="4" w:space="0" w:color="AAAAAA"/>
              <w:bottom w:val="single" w:sz="4" w:space="0" w:color="AAAAAA"/>
              <w:right w:val="single" w:sz="4" w:space="0" w:color="AAAAAA"/>
            </w:tcBorders>
            <w:shd w:val="clear" w:color="auto" w:fill="1F497D"/>
            <w:tcMar>
              <w:top w:w="60" w:type="dxa"/>
              <w:left w:w="100" w:type="dxa"/>
              <w:bottom w:w="60" w:type="dxa"/>
              <w:right w:w="100" w:type="dxa"/>
            </w:tcMar>
            <w:vAlign w:val="center"/>
          </w:tcPr>
          <w:p w14:paraId="54E65227" w14:textId="77777777" w:rsidR="00EC05A7" w:rsidRDefault="005A700D">
            <w:pPr>
              <w:jc w:val="center"/>
            </w:pPr>
            <w:r>
              <w:rPr>
                <w:rFonts w:ascii="Arial" w:eastAsia="Arial" w:hAnsi="Arial" w:cs="Arial"/>
                <w:b/>
                <w:bCs/>
                <w:color w:val="FFFFFF"/>
                <w:sz w:val="18"/>
                <w:szCs w:val="18"/>
              </w:rPr>
              <w:t>p-value</w:t>
            </w:r>
          </w:p>
        </w:tc>
      </w:tr>
      <w:tr w:rsidR="00EC05A7" w14:paraId="32B605BA" w14:textId="77777777">
        <w:tblPrEx>
          <w:tblCellMar>
            <w:top w:w="0" w:type="dxa"/>
            <w:bottom w:w="0" w:type="dxa"/>
          </w:tblCellMar>
        </w:tblPrEx>
        <w:tc>
          <w:tcPr>
            <w:tcW w:w="234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1BE5C4E5" w14:textId="77777777" w:rsidR="00EC05A7" w:rsidRDefault="005A700D">
            <w:r>
              <w:rPr>
                <w:color w:val="000000"/>
                <w:sz w:val="18"/>
                <w:szCs w:val="18"/>
              </w:rPr>
              <w:t>Age (years)</w:t>
            </w:r>
          </w:p>
        </w:tc>
        <w:tc>
          <w:tcPr>
            <w:tcW w:w="234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58BF58BC" w14:textId="77777777" w:rsidR="00EC05A7" w:rsidRDefault="005A700D">
            <w:pPr>
              <w:jc w:val="center"/>
            </w:pPr>
            <w:r>
              <w:rPr>
                <w:color w:val="000000"/>
                <w:sz w:val="18"/>
                <w:szCs w:val="18"/>
              </w:rPr>
              <w:t>38.4 ± 8.2</w:t>
            </w:r>
          </w:p>
        </w:tc>
        <w:tc>
          <w:tcPr>
            <w:tcW w:w="234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3FBC1271" w14:textId="77777777" w:rsidR="00EC05A7" w:rsidRDefault="005A700D">
            <w:pPr>
              <w:jc w:val="center"/>
            </w:pPr>
            <w:r>
              <w:rPr>
                <w:color w:val="000000"/>
                <w:sz w:val="18"/>
                <w:szCs w:val="18"/>
              </w:rPr>
              <w:t>37.9 ± 7.9</w:t>
            </w:r>
          </w:p>
        </w:tc>
        <w:tc>
          <w:tcPr>
            <w:tcW w:w="234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2D1C5357" w14:textId="77777777" w:rsidR="00EC05A7" w:rsidRDefault="005A700D">
            <w:pPr>
              <w:jc w:val="center"/>
            </w:pPr>
            <w:r>
              <w:rPr>
                <w:color w:val="000000"/>
                <w:sz w:val="18"/>
                <w:szCs w:val="18"/>
              </w:rPr>
              <w:t>0.812</w:t>
            </w:r>
          </w:p>
        </w:tc>
      </w:tr>
      <w:tr w:rsidR="00EC05A7" w14:paraId="39E3C14F" w14:textId="77777777">
        <w:tblPrEx>
          <w:tblCellMar>
            <w:top w:w="0" w:type="dxa"/>
            <w:bottom w:w="0" w:type="dxa"/>
          </w:tblCellMar>
        </w:tblPrEx>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0C06713D" w14:textId="77777777" w:rsidR="00EC05A7" w:rsidRDefault="005A700D">
            <w:r>
              <w:rPr>
                <w:color w:val="000000"/>
                <w:sz w:val="18"/>
                <w:szCs w:val="18"/>
              </w:rPr>
              <w:t>Sex (M/F)</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6E32DB44" w14:textId="77777777" w:rsidR="00EC05A7" w:rsidRDefault="005A700D">
            <w:pPr>
              <w:jc w:val="center"/>
            </w:pPr>
            <w:r>
              <w:rPr>
                <w:color w:val="000000"/>
                <w:sz w:val="18"/>
                <w:szCs w:val="18"/>
              </w:rPr>
              <w:t>14/16</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3012C30E" w14:textId="77777777" w:rsidR="00EC05A7" w:rsidRDefault="005A700D">
            <w:pPr>
              <w:jc w:val="center"/>
            </w:pPr>
            <w:r>
              <w:rPr>
                <w:color w:val="000000"/>
                <w:sz w:val="18"/>
                <w:szCs w:val="18"/>
              </w:rPr>
              <w:t>13/17</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5AD1B398" w14:textId="77777777" w:rsidR="00EC05A7" w:rsidRDefault="005A700D">
            <w:pPr>
              <w:jc w:val="center"/>
            </w:pPr>
            <w:r>
              <w:rPr>
                <w:color w:val="000000"/>
                <w:sz w:val="18"/>
                <w:szCs w:val="18"/>
              </w:rPr>
              <w:t>0.795</w:t>
            </w:r>
          </w:p>
        </w:tc>
      </w:tr>
      <w:tr w:rsidR="00EC05A7" w14:paraId="7C59A25C" w14:textId="77777777">
        <w:tblPrEx>
          <w:tblCellMar>
            <w:top w:w="0" w:type="dxa"/>
            <w:bottom w:w="0" w:type="dxa"/>
          </w:tblCellMar>
        </w:tblPrEx>
        <w:tc>
          <w:tcPr>
            <w:tcW w:w="234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717BCD89" w14:textId="77777777" w:rsidR="00EC05A7" w:rsidRDefault="005A700D">
            <w:r>
              <w:rPr>
                <w:color w:val="000000"/>
                <w:sz w:val="18"/>
                <w:szCs w:val="18"/>
              </w:rPr>
              <w:t>BMI (kg/m²)</w:t>
            </w:r>
          </w:p>
        </w:tc>
        <w:tc>
          <w:tcPr>
            <w:tcW w:w="234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3588F8CE" w14:textId="77777777" w:rsidR="00EC05A7" w:rsidRDefault="005A700D">
            <w:pPr>
              <w:jc w:val="center"/>
            </w:pPr>
            <w:r>
              <w:rPr>
                <w:color w:val="000000"/>
                <w:sz w:val="18"/>
                <w:szCs w:val="18"/>
              </w:rPr>
              <w:t>26.1 ± 3.4</w:t>
            </w:r>
          </w:p>
        </w:tc>
        <w:tc>
          <w:tcPr>
            <w:tcW w:w="234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62BDD039" w14:textId="77777777" w:rsidR="00EC05A7" w:rsidRDefault="005A700D">
            <w:pPr>
              <w:jc w:val="center"/>
            </w:pPr>
            <w:r>
              <w:rPr>
                <w:color w:val="000000"/>
                <w:sz w:val="18"/>
                <w:szCs w:val="18"/>
              </w:rPr>
              <w:t>25.8 ± 3.1</w:t>
            </w:r>
          </w:p>
        </w:tc>
        <w:tc>
          <w:tcPr>
            <w:tcW w:w="234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26EA0F4C" w14:textId="77777777" w:rsidR="00EC05A7" w:rsidRDefault="005A700D">
            <w:pPr>
              <w:jc w:val="center"/>
            </w:pPr>
            <w:r>
              <w:rPr>
                <w:color w:val="000000"/>
                <w:sz w:val="18"/>
                <w:szCs w:val="18"/>
              </w:rPr>
              <w:t>0.724</w:t>
            </w:r>
          </w:p>
        </w:tc>
      </w:tr>
      <w:tr w:rsidR="00EC05A7" w14:paraId="5009A10F" w14:textId="77777777">
        <w:tblPrEx>
          <w:tblCellMar>
            <w:top w:w="0" w:type="dxa"/>
            <w:bottom w:w="0" w:type="dxa"/>
          </w:tblCellMar>
        </w:tblPrEx>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15B695C4" w14:textId="77777777" w:rsidR="00EC05A7" w:rsidRDefault="005A700D">
            <w:r>
              <w:rPr>
                <w:color w:val="000000"/>
                <w:sz w:val="18"/>
                <w:szCs w:val="18"/>
              </w:rPr>
              <w:t>Duration of Symptoms (months)</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189C3ABA" w14:textId="77777777" w:rsidR="00EC05A7" w:rsidRDefault="005A700D">
            <w:pPr>
              <w:jc w:val="center"/>
            </w:pPr>
            <w:r>
              <w:rPr>
                <w:color w:val="000000"/>
                <w:sz w:val="18"/>
                <w:szCs w:val="18"/>
              </w:rPr>
              <w:t>8.6 ± 4.1</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3C859FBA" w14:textId="77777777" w:rsidR="00EC05A7" w:rsidRDefault="005A700D">
            <w:pPr>
              <w:jc w:val="center"/>
            </w:pPr>
            <w:r>
              <w:rPr>
                <w:color w:val="000000"/>
                <w:sz w:val="18"/>
                <w:szCs w:val="18"/>
              </w:rPr>
              <w:t>8.9 ± 4.3</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6D4D7836" w14:textId="77777777" w:rsidR="00EC05A7" w:rsidRDefault="005A700D">
            <w:pPr>
              <w:jc w:val="center"/>
            </w:pPr>
            <w:r>
              <w:rPr>
                <w:color w:val="000000"/>
                <w:sz w:val="18"/>
                <w:szCs w:val="18"/>
              </w:rPr>
              <w:t>0.780</w:t>
            </w:r>
          </w:p>
        </w:tc>
      </w:tr>
      <w:tr w:rsidR="00EC05A7" w14:paraId="2F7C75DA" w14:textId="77777777">
        <w:tblPrEx>
          <w:tblCellMar>
            <w:top w:w="0" w:type="dxa"/>
            <w:bottom w:w="0" w:type="dxa"/>
          </w:tblCellMar>
        </w:tblPrEx>
        <w:tc>
          <w:tcPr>
            <w:tcW w:w="234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1C749671" w14:textId="77777777" w:rsidR="00EC05A7" w:rsidRDefault="005A700D">
            <w:r>
              <w:rPr>
                <w:color w:val="000000"/>
                <w:sz w:val="18"/>
                <w:szCs w:val="18"/>
              </w:rPr>
              <w:t>Baseline NPRS</w:t>
            </w:r>
          </w:p>
        </w:tc>
        <w:tc>
          <w:tcPr>
            <w:tcW w:w="234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3FBC264C" w14:textId="77777777" w:rsidR="00EC05A7" w:rsidRDefault="005A700D">
            <w:pPr>
              <w:jc w:val="center"/>
            </w:pPr>
            <w:r>
              <w:rPr>
                <w:color w:val="000000"/>
                <w:sz w:val="18"/>
                <w:szCs w:val="18"/>
              </w:rPr>
              <w:t>6.8 ± 1.2</w:t>
            </w:r>
          </w:p>
        </w:tc>
        <w:tc>
          <w:tcPr>
            <w:tcW w:w="234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301602C2" w14:textId="77777777" w:rsidR="00EC05A7" w:rsidRDefault="005A700D">
            <w:pPr>
              <w:jc w:val="center"/>
            </w:pPr>
            <w:r>
              <w:rPr>
                <w:color w:val="000000"/>
                <w:sz w:val="18"/>
                <w:szCs w:val="18"/>
              </w:rPr>
              <w:t>6.7 ± 1.3</w:t>
            </w:r>
          </w:p>
        </w:tc>
        <w:tc>
          <w:tcPr>
            <w:tcW w:w="234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57749B73" w14:textId="77777777" w:rsidR="00EC05A7" w:rsidRDefault="005A700D">
            <w:pPr>
              <w:jc w:val="center"/>
            </w:pPr>
            <w:r>
              <w:rPr>
                <w:color w:val="000000"/>
                <w:sz w:val="18"/>
                <w:szCs w:val="18"/>
              </w:rPr>
              <w:t>0.753</w:t>
            </w:r>
          </w:p>
        </w:tc>
      </w:tr>
      <w:tr w:rsidR="00EC05A7" w14:paraId="3AAD3FC3" w14:textId="77777777">
        <w:tblPrEx>
          <w:tblCellMar>
            <w:top w:w="0" w:type="dxa"/>
            <w:bottom w:w="0" w:type="dxa"/>
          </w:tblCellMar>
        </w:tblPrEx>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54C1F553" w14:textId="77777777" w:rsidR="00EC05A7" w:rsidRDefault="005A700D">
            <w:r>
              <w:rPr>
                <w:color w:val="000000"/>
                <w:sz w:val="18"/>
                <w:szCs w:val="18"/>
              </w:rPr>
              <w:t>Baseline ASLR</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2FED55C8" w14:textId="77777777" w:rsidR="00EC05A7" w:rsidRDefault="005A700D">
            <w:pPr>
              <w:jc w:val="center"/>
            </w:pPr>
            <w:r>
              <w:rPr>
                <w:color w:val="000000"/>
                <w:sz w:val="18"/>
                <w:szCs w:val="18"/>
              </w:rPr>
              <w:t>3.2 ± 0.8</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3F00B153" w14:textId="77777777" w:rsidR="00EC05A7" w:rsidRDefault="005A700D">
            <w:pPr>
              <w:jc w:val="center"/>
            </w:pPr>
            <w:r>
              <w:rPr>
                <w:color w:val="000000"/>
                <w:sz w:val="18"/>
                <w:szCs w:val="18"/>
              </w:rPr>
              <w:t>3.1 ± 0.9</w:t>
            </w:r>
          </w:p>
        </w:tc>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189F8490" w14:textId="77777777" w:rsidR="00EC05A7" w:rsidRDefault="005A700D">
            <w:pPr>
              <w:jc w:val="center"/>
            </w:pPr>
            <w:r>
              <w:rPr>
                <w:color w:val="000000"/>
                <w:sz w:val="18"/>
                <w:szCs w:val="18"/>
              </w:rPr>
              <w:t>0.640</w:t>
            </w:r>
          </w:p>
        </w:tc>
      </w:tr>
      <w:tr w:rsidR="00EC05A7" w14:paraId="521C810E" w14:textId="77777777">
        <w:tblPrEx>
          <w:tblCellMar>
            <w:top w:w="0" w:type="dxa"/>
            <w:bottom w:w="0" w:type="dxa"/>
          </w:tblCellMar>
        </w:tblPrEx>
        <w:tc>
          <w:tcPr>
            <w:tcW w:w="234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2373DF34" w14:textId="77777777" w:rsidR="00EC05A7" w:rsidRDefault="005A700D">
            <w:r>
              <w:rPr>
                <w:color w:val="000000"/>
                <w:sz w:val="18"/>
                <w:szCs w:val="18"/>
              </w:rPr>
              <w:t>Baseline ODI (%)</w:t>
            </w:r>
          </w:p>
        </w:tc>
        <w:tc>
          <w:tcPr>
            <w:tcW w:w="234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2F468CAF" w14:textId="77777777" w:rsidR="00EC05A7" w:rsidRDefault="005A700D">
            <w:pPr>
              <w:jc w:val="center"/>
            </w:pPr>
            <w:r>
              <w:rPr>
                <w:color w:val="000000"/>
                <w:sz w:val="18"/>
                <w:szCs w:val="18"/>
              </w:rPr>
              <w:t>42.6 ± 8.7</w:t>
            </w:r>
          </w:p>
        </w:tc>
        <w:tc>
          <w:tcPr>
            <w:tcW w:w="234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408FD14B" w14:textId="77777777" w:rsidR="00EC05A7" w:rsidRDefault="005A700D">
            <w:pPr>
              <w:jc w:val="center"/>
            </w:pPr>
            <w:r>
              <w:rPr>
                <w:color w:val="000000"/>
                <w:sz w:val="18"/>
                <w:szCs w:val="18"/>
              </w:rPr>
              <w:t>43.1 ± 9.2</w:t>
            </w:r>
          </w:p>
        </w:tc>
        <w:tc>
          <w:tcPr>
            <w:tcW w:w="234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685CFB2B" w14:textId="77777777" w:rsidR="00EC05A7" w:rsidRDefault="005A700D">
            <w:pPr>
              <w:jc w:val="center"/>
            </w:pPr>
            <w:r>
              <w:rPr>
                <w:color w:val="000000"/>
                <w:sz w:val="18"/>
                <w:szCs w:val="18"/>
              </w:rPr>
              <w:t>0.821</w:t>
            </w:r>
          </w:p>
        </w:tc>
      </w:tr>
    </w:tbl>
    <w:p w14:paraId="2A8FC729" w14:textId="77777777" w:rsidR="00EC05A7" w:rsidRDefault="005A700D">
      <w:pPr>
        <w:spacing w:before="60" w:after="80" w:line="276" w:lineRule="auto"/>
        <w:jc w:val="both"/>
      </w:pPr>
      <w:r>
        <w:rPr>
          <w:i/>
          <w:iCs/>
          <w:color w:val="000000"/>
        </w:rPr>
        <w:t>Values expressed as mean ± SD. MET = Muscle Energy Technique; NMCT = Neuromuscular Control Training; MWM = Mobilization with Movement; CS = Core Stabilization.</w:t>
      </w:r>
    </w:p>
    <w:p w14:paraId="68D837E6" w14:textId="77777777" w:rsidR="00EC05A7" w:rsidRDefault="005A700D">
      <w:pPr>
        <w:spacing w:before="160" w:after="60" w:line="276" w:lineRule="auto"/>
        <w:jc w:val="both"/>
      </w:pPr>
      <w:r>
        <w:rPr>
          <w:rFonts w:ascii="Arial" w:eastAsia="Arial" w:hAnsi="Arial" w:cs="Arial"/>
          <w:b/>
          <w:bCs/>
          <w:color w:val="1F497D"/>
        </w:rPr>
        <w:t>3.2 Pain Intensity (NPRS)</w:t>
      </w:r>
    </w:p>
    <w:p w14:paraId="49E561BF" w14:textId="77777777" w:rsidR="00EC05A7" w:rsidRDefault="005A700D">
      <w:pPr>
        <w:spacing w:before="80" w:after="80" w:line="276" w:lineRule="auto"/>
        <w:ind w:firstLine="720"/>
        <w:jc w:val="both"/>
      </w:pPr>
      <w:r>
        <w:rPr>
          <w:color w:val="000000"/>
        </w:rPr>
        <w:t>Both groups showed significant reductions in NPRS scores over 4 weeks (p &lt; 0.001). At 4 weeks, Group A demonstrated a significantly greater reduction in pain (mean NPRS: 3.0 ± 0.8) compared to Group B (mean NPRS: 3.8 ± 1.0, p = 0.002). The between-group difference in NPRS reduction was 0.9 points, exceeding the minimal clinically important difference (MCID) of 2 points when compared to baseline change, indicating clinical significance.</w:t>
      </w:r>
    </w:p>
    <w:p w14:paraId="7FE3CB80" w14:textId="77777777" w:rsidR="00EC05A7" w:rsidRDefault="005A700D">
      <w:pPr>
        <w:spacing w:before="140" w:after="60" w:line="276" w:lineRule="auto"/>
        <w:jc w:val="both"/>
      </w:pPr>
      <w:r>
        <w:rPr>
          <w:rFonts w:ascii="Arial" w:eastAsia="Arial" w:hAnsi="Arial" w:cs="Arial"/>
          <w:b/>
          <w:bCs/>
          <w:color w:val="1F497D"/>
        </w:rPr>
        <w:t xml:space="preserve">3.3 </w:t>
      </w:r>
      <w:proofErr w:type="spellStart"/>
      <w:r>
        <w:rPr>
          <w:rFonts w:ascii="Arial" w:eastAsia="Arial" w:hAnsi="Arial" w:cs="Arial"/>
          <w:b/>
          <w:bCs/>
          <w:color w:val="1F497D"/>
        </w:rPr>
        <w:t>Lumbopelvic</w:t>
      </w:r>
      <w:proofErr w:type="spellEnd"/>
      <w:r>
        <w:rPr>
          <w:rFonts w:ascii="Arial" w:eastAsia="Arial" w:hAnsi="Arial" w:cs="Arial"/>
          <w:b/>
          <w:bCs/>
          <w:color w:val="1F497D"/>
        </w:rPr>
        <w:t xml:space="preserve"> Stability (ASLR)</w:t>
      </w:r>
    </w:p>
    <w:p w14:paraId="6102FC03" w14:textId="77777777" w:rsidR="00EC05A7" w:rsidRDefault="005A700D">
      <w:pPr>
        <w:spacing w:before="80" w:after="80" w:line="276" w:lineRule="auto"/>
        <w:ind w:firstLine="720"/>
        <w:jc w:val="both"/>
      </w:pPr>
      <w:r>
        <w:rPr>
          <w:color w:val="000000"/>
        </w:rPr>
        <w:t>Significant improvements in ASLR scores were observed in both groups across time points. At 4-week follow-up, Group A recorded a mean ASLR score of 1.6 ± 0.7, compared to 1.9 ± 0.8 in Group B. The between-group difference was statistically significant (p = 0.014), favoring Group A.</w:t>
      </w:r>
    </w:p>
    <w:p w14:paraId="4A8AEB5C" w14:textId="77777777" w:rsidR="00EC05A7" w:rsidRDefault="005A700D">
      <w:pPr>
        <w:spacing w:before="140" w:after="60" w:line="276" w:lineRule="auto"/>
        <w:jc w:val="both"/>
      </w:pPr>
      <w:r>
        <w:rPr>
          <w:rFonts w:ascii="Arial" w:eastAsia="Arial" w:hAnsi="Arial" w:cs="Arial"/>
          <w:b/>
          <w:bCs/>
          <w:color w:val="1F497D"/>
        </w:rPr>
        <w:t>3.4 Functional Disability (ODI)</w:t>
      </w:r>
    </w:p>
    <w:p w14:paraId="4E741451" w14:textId="77777777" w:rsidR="00EC05A7" w:rsidRDefault="005A700D">
      <w:pPr>
        <w:spacing w:before="80" w:after="80" w:line="276" w:lineRule="auto"/>
        <w:ind w:firstLine="720"/>
        <w:jc w:val="both"/>
      </w:pPr>
      <w:r>
        <w:rPr>
          <w:color w:val="000000"/>
        </w:rPr>
        <w:t>Both groups demonstrated clinically meaningful reductions in ODI scores. Group A achieved a mean ODI reduction of 22.4% ± 5.1, compared to 17.6% ± 6.3 in Group B (p = 0.003). Post-treatment mean ODI scores were 20.2% ± 4.9 (Group A) and 25.5% ± 7.1 (Group B).</w:t>
      </w:r>
    </w:p>
    <w:p w14:paraId="563C56D8" w14:textId="77777777" w:rsidR="00EC05A7" w:rsidRDefault="005A700D">
      <w:pPr>
        <w:spacing w:before="140" w:after="60" w:line="276" w:lineRule="auto"/>
        <w:jc w:val="center"/>
      </w:pPr>
      <w:r>
        <w:rPr>
          <w:b/>
          <w:bCs/>
          <w:color w:val="000000"/>
        </w:rPr>
        <w:t>Table 3: Progression of Outcome Measures Over Time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1300"/>
        <w:gridCol w:w="1300"/>
        <w:gridCol w:w="1300"/>
        <w:gridCol w:w="1300"/>
        <w:gridCol w:w="1300"/>
        <w:gridCol w:w="1300"/>
      </w:tblGrid>
      <w:tr w:rsidR="00EC05A7" w14:paraId="5627B5F7" w14:textId="77777777">
        <w:tblPrEx>
          <w:tblCellMar>
            <w:top w:w="0" w:type="dxa"/>
            <w:bottom w:w="0" w:type="dxa"/>
          </w:tblCellMar>
        </w:tblPrEx>
        <w:tc>
          <w:tcPr>
            <w:tcW w:w="1560" w:type="dxa"/>
            <w:tcBorders>
              <w:top w:val="single" w:sz="4" w:space="0" w:color="AAAAAA"/>
              <w:left w:val="single" w:sz="4" w:space="0" w:color="AAAAAA"/>
              <w:bottom w:val="single" w:sz="4" w:space="0" w:color="AAAAAA"/>
              <w:right w:val="single" w:sz="4" w:space="0" w:color="AAAAAA"/>
            </w:tcBorders>
            <w:shd w:val="clear" w:color="auto" w:fill="1F497D"/>
            <w:tcMar>
              <w:top w:w="60" w:type="dxa"/>
              <w:left w:w="100" w:type="dxa"/>
              <w:bottom w:w="60" w:type="dxa"/>
              <w:right w:w="100" w:type="dxa"/>
            </w:tcMar>
            <w:vAlign w:val="center"/>
          </w:tcPr>
          <w:p w14:paraId="63DC7A21" w14:textId="77777777" w:rsidR="00EC05A7" w:rsidRDefault="005A700D">
            <w:pPr>
              <w:jc w:val="center"/>
            </w:pPr>
            <w:r>
              <w:rPr>
                <w:rFonts w:ascii="Arial" w:eastAsia="Arial" w:hAnsi="Arial" w:cs="Arial"/>
                <w:b/>
                <w:bCs/>
                <w:color w:val="FFFFFF"/>
                <w:sz w:val="18"/>
                <w:szCs w:val="18"/>
              </w:rPr>
              <w:t>Outcome</w:t>
            </w:r>
          </w:p>
        </w:tc>
        <w:tc>
          <w:tcPr>
            <w:tcW w:w="1300" w:type="dxa"/>
            <w:tcBorders>
              <w:top w:val="single" w:sz="4" w:space="0" w:color="AAAAAA"/>
              <w:left w:val="single" w:sz="4" w:space="0" w:color="AAAAAA"/>
              <w:bottom w:val="single" w:sz="4" w:space="0" w:color="AAAAAA"/>
              <w:right w:val="single" w:sz="4" w:space="0" w:color="AAAAAA"/>
            </w:tcBorders>
            <w:shd w:val="clear" w:color="auto" w:fill="1F497D"/>
            <w:tcMar>
              <w:top w:w="60" w:type="dxa"/>
              <w:left w:w="100" w:type="dxa"/>
              <w:bottom w:w="60" w:type="dxa"/>
              <w:right w:w="100" w:type="dxa"/>
            </w:tcMar>
            <w:vAlign w:val="center"/>
          </w:tcPr>
          <w:p w14:paraId="1C461FC7" w14:textId="77777777" w:rsidR="00EC05A7" w:rsidRDefault="005A700D">
            <w:pPr>
              <w:jc w:val="center"/>
            </w:pPr>
            <w:r>
              <w:rPr>
                <w:rFonts w:ascii="Arial" w:eastAsia="Arial" w:hAnsi="Arial" w:cs="Arial"/>
                <w:b/>
                <w:bCs/>
                <w:color w:val="FFFFFF"/>
                <w:sz w:val="18"/>
                <w:szCs w:val="18"/>
              </w:rPr>
              <w:t>Group A Baseline</w:t>
            </w:r>
          </w:p>
        </w:tc>
        <w:tc>
          <w:tcPr>
            <w:tcW w:w="1300" w:type="dxa"/>
            <w:tcBorders>
              <w:top w:val="single" w:sz="4" w:space="0" w:color="AAAAAA"/>
              <w:left w:val="single" w:sz="4" w:space="0" w:color="AAAAAA"/>
              <w:bottom w:val="single" w:sz="4" w:space="0" w:color="AAAAAA"/>
              <w:right w:val="single" w:sz="4" w:space="0" w:color="AAAAAA"/>
            </w:tcBorders>
            <w:shd w:val="clear" w:color="auto" w:fill="1F497D"/>
            <w:tcMar>
              <w:top w:w="60" w:type="dxa"/>
              <w:left w:w="100" w:type="dxa"/>
              <w:bottom w:w="60" w:type="dxa"/>
              <w:right w:w="100" w:type="dxa"/>
            </w:tcMar>
            <w:vAlign w:val="center"/>
          </w:tcPr>
          <w:p w14:paraId="493DDC53" w14:textId="77777777" w:rsidR="00EC05A7" w:rsidRDefault="005A700D">
            <w:pPr>
              <w:jc w:val="center"/>
            </w:pPr>
            <w:r>
              <w:rPr>
                <w:rFonts w:ascii="Arial" w:eastAsia="Arial" w:hAnsi="Arial" w:cs="Arial"/>
                <w:b/>
                <w:bCs/>
                <w:color w:val="FFFFFF"/>
                <w:sz w:val="18"/>
                <w:szCs w:val="18"/>
              </w:rPr>
              <w:t>Group A 2 Weeks</w:t>
            </w:r>
          </w:p>
        </w:tc>
        <w:tc>
          <w:tcPr>
            <w:tcW w:w="1300" w:type="dxa"/>
            <w:tcBorders>
              <w:top w:val="single" w:sz="4" w:space="0" w:color="AAAAAA"/>
              <w:left w:val="single" w:sz="4" w:space="0" w:color="AAAAAA"/>
              <w:bottom w:val="single" w:sz="4" w:space="0" w:color="AAAAAA"/>
              <w:right w:val="single" w:sz="4" w:space="0" w:color="AAAAAA"/>
            </w:tcBorders>
            <w:shd w:val="clear" w:color="auto" w:fill="1F497D"/>
            <w:tcMar>
              <w:top w:w="60" w:type="dxa"/>
              <w:left w:w="100" w:type="dxa"/>
              <w:bottom w:w="60" w:type="dxa"/>
              <w:right w:w="100" w:type="dxa"/>
            </w:tcMar>
            <w:vAlign w:val="center"/>
          </w:tcPr>
          <w:p w14:paraId="653A3D7B" w14:textId="77777777" w:rsidR="00EC05A7" w:rsidRDefault="005A700D">
            <w:pPr>
              <w:jc w:val="center"/>
            </w:pPr>
            <w:r>
              <w:rPr>
                <w:rFonts w:ascii="Arial" w:eastAsia="Arial" w:hAnsi="Arial" w:cs="Arial"/>
                <w:b/>
                <w:bCs/>
                <w:color w:val="FFFFFF"/>
                <w:sz w:val="18"/>
                <w:szCs w:val="18"/>
              </w:rPr>
              <w:t>Group A 4 Weeks</w:t>
            </w:r>
          </w:p>
        </w:tc>
        <w:tc>
          <w:tcPr>
            <w:tcW w:w="1300" w:type="dxa"/>
            <w:tcBorders>
              <w:top w:val="single" w:sz="4" w:space="0" w:color="AAAAAA"/>
              <w:left w:val="single" w:sz="4" w:space="0" w:color="AAAAAA"/>
              <w:bottom w:val="single" w:sz="4" w:space="0" w:color="AAAAAA"/>
              <w:right w:val="single" w:sz="4" w:space="0" w:color="AAAAAA"/>
            </w:tcBorders>
            <w:shd w:val="clear" w:color="auto" w:fill="1F497D"/>
            <w:tcMar>
              <w:top w:w="60" w:type="dxa"/>
              <w:left w:w="100" w:type="dxa"/>
              <w:bottom w:w="60" w:type="dxa"/>
              <w:right w:w="100" w:type="dxa"/>
            </w:tcMar>
            <w:vAlign w:val="center"/>
          </w:tcPr>
          <w:p w14:paraId="06559604" w14:textId="77777777" w:rsidR="00EC05A7" w:rsidRDefault="005A700D">
            <w:pPr>
              <w:jc w:val="center"/>
            </w:pPr>
            <w:r>
              <w:rPr>
                <w:rFonts w:ascii="Arial" w:eastAsia="Arial" w:hAnsi="Arial" w:cs="Arial"/>
                <w:b/>
                <w:bCs/>
                <w:color w:val="FFFFFF"/>
                <w:sz w:val="18"/>
                <w:szCs w:val="18"/>
              </w:rPr>
              <w:t>Group B Baseline</w:t>
            </w:r>
          </w:p>
        </w:tc>
        <w:tc>
          <w:tcPr>
            <w:tcW w:w="1300" w:type="dxa"/>
            <w:tcBorders>
              <w:top w:val="single" w:sz="4" w:space="0" w:color="AAAAAA"/>
              <w:left w:val="single" w:sz="4" w:space="0" w:color="AAAAAA"/>
              <w:bottom w:val="single" w:sz="4" w:space="0" w:color="AAAAAA"/>
              <w:right w:val="single" w:sz="4" w:space="0" w:color="AAAAAA"/>
            </w:tcBorders>
            <w:shd w:val="clear" w:color="auto" w:fill="1F497D"/>
            <w:tcMar>
              <w:top w:w="60" w:type="dxa"/>
              <w:left w:w="100" w:type="dxa"/>
              <w:bottom w:w="60" w:type="dxa"/>
              <w:right w:w="100" w:type="dxa"/>
            </w:tcMar>
            <w:vAlign w:val="center"/>
          </w:tcPr>
          <w:p w14:paraId="1C68D45F" w14:textId="77777777" w:rsidR="00EC05A7" w:rsidRDefault="005A700D">
            <w:pPr>
              <w:jc w:val="center"/>
            </w:pPr>
            <w:r>
              <w:rPr>
                <w:rFonts w:ascii="Arial" w:eastAsia="Arial" w:hAnsi="Arial" w:cs="Arial"/>
                <w:b/>
                <w:bCs/>
                <w:color w:val="FFFFFF"/>
                <w:sz w:val="18"/>
                <w:szCs w:val="18"/>
              </w:rPr>
              <w:t>Group B 2 Weeks</w:t>
            </w:r>
          </w:p>
        </w:tc>
        <w:tc>
          <w:tcPr>
            <w:tcW w:w="1300" w:type="dxa"/>
            <w:tcBorders>
              <w:top w:val="single" w:sz="4" w:space="0" w:color="AAAAAA"/>
              <w:left w:val="single" w:sz="4" w:space="0" w:color="AAAAAA"/>
              <w:bottom w:val="single" w:sz="4" w:space="0" w:color="AAAAAA"/>
              <w:right w:val="single" w:sz="4" w:space="0" w:color="AAAAAA"/>
            </w:tcBorders>
            <w:shd w:val="clear" w:color="auto" w:fill="1F497D"/>
            <w:tcMar>
              <w:top w:w="60" w:type="dxa"/>
              <w:left w:w="100" w:type="dxa"/>
              <w:bottom w:w="60" w:type="dxa"/>
              <w:right w:w="100" w:type="dxa"/>
            </w:tcMar>
            <w:vAlign w:val="center"/>
          </w:tcPr>
          <w:p w14:paraId="7CA80DD6" w14:textId="77777777" w:rsidR="00EC05A7" w:rsidRDefault="005A700D">
            <w:pPr>
              <w:jc w:val="center"/>
            </w:pPr>
            <w:r>
              <w:rPr>
                <w:rFonts w:ascii="Arial" w:eastAsia="Arial" w:hAnsi="Arial" w:cs="Arial"/>
                <w:b/>
                <w:bCs/>
                <w:color w:val="FFFFFF"/>
                <w:sz w:val="18"/>
                <w:szCs w:val="18"/>
              </w:rPr>
              <w:t>Group B 4 Weeks</w:t>
            </w:r>
          </w:p>
        </w:tc>
      </w:tr>
      <w:tr w:rsidR="00EC05A7" w14:paraId="31E3EC27" w14:textId="77777777">
        <w:tblPrEx>
          <w:tblCellMar>
            <w:top w:w="0" w:type="dxa"/>
            <w:bottom w:w="0" w:type="dxa"/>
          </w:tblCellMar>
        </w:tblPrEx>
        <w:tc>
          <w:tcPr>
            <w:tcW w:w="156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4C7C9BDF" w14:textId="77777777" w:rsidR="00EC05A7" w:rsidRDefault="005A700D">
            <w:r>
              <w:rPr>
                <w:b/>
                <w:bCs/>
                <w:color w:val="000000"/>
                <w:sz w:val="18"/>
                <w:szCs w:val="18"/>
              </w:rPr>
              <w:t>NPRS (0-10)</w:t>
            </w:r>
          </w:p>
        </w:tc>
        <w:tc>
          <w:tcPr>
            <w:tcW w:w="130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63749D5D" w14:textId="77777777" w:rsidR="00EC05A7" w:rsidRDefault="005A700D">
            <w:pPr>
              <w:jc w:val="center"/>
            </w:pPr>
            <w:r>
              <w:rPr>
                <w:color w:val="000000"/>
                <w:sz w:val="18"/>
                <w:szCs w:val="18"/>
              </w:rPr>
              <w:t>6.8 ± 1.2</w:t>
            </w:r>
          </w:p>
        </w:tc>
        <w:tc>
          <w:tcPr>
            <w:tcW w:w="130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0BC5F372" w14:textId="77777777" w:rsidR="00EC05A7" w:rsidRDefault="005A700D">
            <w:pPr>
              <w:jc w:val="center"/>
            </w:pPr>
            <w:r>
              <w:rPr>
                <w:color w:val="000000"/>
                <w:sz w:val="18"/>
                <w:szCs w:val="18"/>
              </w:rPr>
              <w:t>4.9 ± 0.9*</w:t>
            </w:r>
          </w:p>
        </w:tc>
        <w:tc>
          <w:tcPr>
            <w:tcW w:w="130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44191D27" w14:textId="77777777" w:rsidR="00EC05A7" w:rsidRDefault="005A700D">
            <w:pPr>
              <w:jc w:val="center"/>
            </w:pPr>
            <w:r>
              <w:rPr>
                <w:color w:val="000000"/>
                <w:sz w:val="18"/>
                <w:szCs w:val="18"/>
              </w:rPr>
              <w:t>3.0 ± 0.8*†</w:t>
            </w:r>
          </w:p>
        </w:tc>
        <w:tc>
          <w:tcPr>
            <w:tcW w:w="130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1280389D" w14:textId="77777777" w:rsidR="00EC05A7" w:rsidRDefault="005A700D">
            <w:pPr>
              <w:jc w:val="center"/>
            </w:pPr>
            <w:r>
              <w:rPr>
                <w:color w:val="000000"/>
                <w:sz w:val="18"/>
                <w:szCs w:val="18"/>
              </w:rPr>
              <w:t>6.7 ± 1.3</w:t>
            </w:r>
          </w:p>
        </w:tc>
        <w:tc>
          <w:tcPr>
            <w:tcW w:w="130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5C089189" w14:textId="77777777" w:rsidR="00EC05A7" w:rsidRDefault="005A700D">
            <w:pPr>
              <w:jc w:val="center"/>
            </w:pPr>
            <w:r>
              <w:rPr>
                <w:color w:val="000000"/>
                <w:sz w:val="18"/>
                <w:szCs w:val="18"/>
              </w:rPr>
              <w:t>5.4 ± 1.0*</w:t>
            </w:r>
          </w:p>
        </w:tc>
        <w:tc>
          <w:tcPr>
            <w:tcW w:w="130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4FC41EF1" w14:textId="77777777" w:rsidR="00EC05A7" w:rsidRDefault="005A700D">
            <w:pPr>
              <w:jc w:val="center"/>
            </w:pPr>
            <w:r>
              <w:rPr>
                <w:color w:val="000000"/>
                <w:sz w:val="18"/>
                <w:szCs w:val="18"/>
              </w:rPr>
              <w:t>3.8 ± 1.0*</w:t>
            </w:r>
          </w:p>
        </w:tc>
      </w:tr>
      <w:tr w:rsidR="00EC05A7" w14:paraId="6466367C" w14:textId="77777777">
        <w:tblPrEx>
          <w:tblCellMar>
            <w:top w:w="0" w:type="dxa"/>
            <w:bottom w:w="0" w:type="dxa"/>
          </w:tblCellMar>
        </w:tblPrEx>
        <w:tc>
          <w:tcPr>
            <w:tcW w:w="156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0FE75D87" w14:textId="77777777" w:rsidR="00EC05A7" w:rsidRDefault="005A700D">
            <w:r>
              <w:rPr>
                <w:b/>
                <w:bCs/>
                <w:color w:val="000000"/>
                <w:sz w:val="18"/>
                <w:szCs w:val="18"/>
              </w:rPr>
              <w:t>ASLR (0-5)</w:t>
            </w:r>
          </w:p>
        </w:tc>
        <w:tc>
          <w:tcPr>
            <w:tcW w:w="130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39FBB0DA" w14:textId="77777777" w:rsidR="00EC05A7" w:rsidRDefault="005A700D">
            <w:pPr>
              <w:jc w:val="center"/>
            </w:pPr>
            <w:r>
              <w:rPr>
                <w:color w:val="000000"/>
                <w:sz w:val="18"/>
                <w:szCs w:val="18"/>
              </w:rPr>
              <w:t>3.2 ± 0.8</w:t>
            </w:r>
          </w:p>
        </w:tc>
        <w:tc>
          <w:tcPr>
            <w:tcW w:w="130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07BC6681" w14:textId="77777777" w:rsidR="00EC05A7" w:rsidRDefault="005A700D">
            <w:pPr>
              <w:jc w:val="center"/>
            </w:pPr>
            <w:r>
              <w:rPr>
                <w:color w:val="000000"/>
                <w:sz w:val="18"/>
                <w:szCs w:val="18"/>
              </w:rPr>
              <w:t>2.4 ± 0.7*</w:t>
            </w:r>
          </w:p>
        </w:tc>
        <w:tc>
          <w:tcPr>
            <w:tcW w:w="130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61B50507" w14:textId="77777777" w:rsidR="00EC05A7" w:rsidRDefault="005A700D">
            <w:pPr>
              <w:jc w:val="center"/>
            </w:pPr>
            <w:r>
              <w:rPr>
                <w:color w:val="000000"/>
                <w:sz w:val="18"/>
                <w:szCs w:val="18"/>
              </w:rPr>
              <w:t>1.6 ± 0.7*†</w:t>
            </w:r>
          </w:p>
        </w:tc>
        <w:tc>
          <w:tcPr>
            <w:tcW w:w="130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788ED726" w14:textId="77777777" w:rsidR="00EC05A7" w:rsidRDefault="005A700D">
            <w:pPr>
              <w:jc w:val="center"/>
            </w:pPr>
            <w:r>
              <w:rPr>
                <w:color w:val="000000"/>
                <w:sz w:val="18"/>
                <w:szCs w:val="18"/>
              </w:rPr>
              <w:t>3.1 ± 0.9</w:t>
            </w:r>
          </w:p>
        </w:tc>
        <w:tc>
          <w:tcPr>
            <w:tcW w:w="130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1AE0C571" w14:textId="77777777" w:rsidR="00EC05A7" w:rsidRDefault="005A700D">
            <w:pPr>
              <w:jc w:val="center"/>
            </w:pPr>
            <w:r>
              <w:rPr>
                <w:color w:val="000000"/>
                <w:sz w:val="18"/>
                <w:szCs w:val="18"/>
              </w:rPr>
              <w:t>2.6 ± 0.8*</w:t>
            </w:r>
          </w:p>
        </w:tc>
        <w:tc>
          <w:tcPr>
            <w:tcW w:w="130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3C034476" w14:textId="77777777" w:rsidR="00EC05A7" w:rsidRDefault="005A700D">
            <w:pPr>
              <w:jc w:val="center"/>
            </w:pPr>
            <w:r>
              <w:rPr>
                <w:color w:val="000000"/>
                <w:sz w:val="18"/>
                <w:szCs w:val="18"/>
              </w:rPr>
              <w:t>1.9 ± 0.8*</w:t>
            </w:r>
          </w:p>
        </w:tc>
      </w:tr>
      <w:tr w:rsidR="00EC05A7" w14:paraId="63A492ED" w14:textId="77777777">
        <w:tblPrEx>
          <w:tblCellMar>
            <w:top w:w="0" w:type="dxa"/>
            <w:bottom w:w="0" w:type="dxa"/>
          </w:tblCellMar>
        </w:tblPrEx>
        <w:tc>
          <w:tcPr>
            <w:tcW w:w="156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40452829" w14:textId="77777777" w:rsidR="00EC05A7" w:rsidRDefault="005A700D">
            <w:r>
              <w:rPr>
                <w:b/>
                <w:bCs/>
                <w:color w:val="000000"/>
                <w:sz w:val="18"/>
                <w:szCs w:val="18"/>
              </w:rPr>
              <w:t>ODI (0-100%)</w:t>
            </w:r>
          </w:p>
        </w:tc>
        <w:tc>
          <w:tcPr>
            <w:tcW w:w="130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38228310" w14:textId="77777777" w:rsidR="00EC05A7" w:rsidRDefault="005A700D">
            <w:pPr>
              <w:jc w:val="center"/>
            </w:pPr>
            <w:r>
              <w:rPr>
                <w:color w:val="000000"/>
                <w:sz w:val="18"/>
                <w:szCs w:val="18"/>
              </w:rPr>
              <w:t>42.6 ± 8.7</w:t>
            </w:r>
          </w:p>
        </w:tc>
        <w:tc>
          <w:tcPr>
            <w:tcW w:w="130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1F0AD24F" w14:textId="77777777" w:rsidR="00EC05A7" w:rsidRDefault="005A700D">
            <w:pPr>
              <w:jc w:val="center"/>
            </w:pPr>
            <w:r>
              <w:rPr>
                <w:color w:val="000000"/>
                <w:sz w:val="18"/>
                <w:szCs w:val="18"/>
              </w:rPr>
              <w:t>31.4 ± 6.2*</w:t>
            </w:r>
          </w:p>
        </w:tc>
        <w:tc>
          <w:tcPr>
            <w:tcW w:w="130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7D32DDD6" w14:textId="77777777" w:rsidR="00EC05A7" w:rsidRDefault="005A700D">
            <w:pPr>
              <w:jc w:val="center"/>
            </w:pPr>
            <w:r>
              <w:rPr>
                <w:color w:val="000000"/>
                <w:sz w:val="18"/>
                <w:szCs w:val="18"/>
              </w:rPr>
              <w:t>20.2 ± 4.9*†</w:t>
            </w:r>
          </w:p>
        </w:tc>
        <w:tc>
          <w:tcPr>
            <w:tcW w:w="130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23756357" w14:textId="77777777" w:rsidR="00EC05A7" w:rsidRDefault="005A700D">
            <w:pPr>
              <w:jc w:val="center"/>
            </w:pPr>
            <w:r>
              <w:rPr>
                <w:color w:val="000000"/>
                <w:sz w:val="18"/>
                <w:szCs w:val="18"/>
              </w:rPr>
              <w:t>43.1 ± 9.2</w:t>
            </w:r>
          </w:p>
        </w:tc>
        <w:tc>
          <w:tcPr>
            <w:tcW w:w="130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6970B92D" w14:textId="77777777" w:rsidR="00EC05A7" w:rsidRDefault="005A700D">
            <w:pPr>
              <w:jc w:val="center"/>
            </w:pPr>
            <w:r>
              <w:rPr>
                <w:color w:val="000000"/>
                <w:sz w:val="18"/>
                <w:szCs w:val="18"/>
              </w:rPr>
              <w:t>34.8 ± 7.4*</w:t>
            </w:r>
          </w:p>
        </w:tc>
        <w:tc>
          <w:tcPr>
            <w:tcW w:w="130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247CD282" w14:textId="77777777" w:rsidR="00EC05A7" w:rsidRDefault="005A700D">
            <w:pPr>
              <w:jc w:val="center"/>
            </w:pPr>
            <w:r>
              <w:rPr>
                <w:color w:val="000000"/>
                <w:sz w:val="18"/>
                <w:szCs w:val="18"/>
              </w:rPr>
              <w:t>25.5 ± 7.1*</w:t>
            </w:r>
          </w:p>
        </w:tc>
      </w:tr>
    </w:tbl>
    <w:p w14:paraId="3BA575CD" w14:textId="77777777" w:rsidR="00EC05A7" w:rsidRDefault="005A700D">
      <w:pPr>
        <w:spacing w:before="60" w:after="80" w:line="276" w:lineRule="auto"/>
        <w:jc w:val="both"/>
      </w:pPr>
      <w:r>
        <w:rPr>
          <w:i/>
          <w:iCs/>
          <w:color w:val="000000"/>
        </w:rPr>
        <w:t>* Significant within-group improvement vs. baseline (p &lt; 0.05); † Significant between-group difference at 4 weeks (p &lt; 0.05). Values expressed as mean ± SD.</w:t>
      </w:r>
    </w:p>
    <w:p w14:paraId="55A4FBEF" w14:textId="77777777" w:rsidR="00EC05A7" w:rsidRDefault="005A700D">
      <w:pPr>
        <w:spacing w:before="140" w:after="60" w:line="276" w:lineRule="auto"/>
        <w:jc w:val="center"/>
      </w:pPr>
      <w:r>
        <w:rPr>
          <w:b/>
          <w:bCs/>
          <w:color w:val="000000"/>
        </w:rPr>
        <w:t>Table 4: Between-Group Comparison at 4-Week Follow-Up with Effect Sizes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72"/>
        <w:gridCol w:w="1872"/>
        <w:gridCol w:w="1872"/>
        <w:gridCol w:w="1872"/>
        <w:gridCol w:w="1872"/>
      </w:tblGrid>
      <w:tr w:rsidR="00EC05A7" w14:paraId="6FE8BADD" w14:textId="77777777">
        <w:tblPrEx>
          <w:tblCellMar>
            <w:top w:w="0" w:type="dxa"/>
            <w:bottom w:w="0" w:type="dxa"/>
          </w:tblCellMar>
        </w:tblPrEx>
        <w:tc>
          <w:tcPr>
            <w:tcW w:w="1872" w:type="dxa"/>
            <w:tcBorders>
              <w:top w:val="single" w:sz="4" w:space="0" w:color="AAAAAA"/>
              <w:left w:val="single" w:sz="4" w:space="0" w:color="AAAAAA"/>
              <w:bottom w:val="single" w:sz="4" w:space="0" w:color="AAAAAA"/>
              <w:right w:val="single" w:sz="4" w:space="0" w:color="AAAAAA"/>
            </w:tcBorders>
            <w:shd w:val="clear" w:color="auto" w:fill="1F497D"/>
            <w:tcMar>
              <w:top w:w="60" w:type="dxa"/>
              <w:left w:w="100" w:type="dxa"/>
              <w:bottom w:w="60" w:type="dxa"/>
              <w:right w:w="100" w:type="dxa"/>
            </w:tcMar>
            <w:vAlign w:val="center"/>
          </w:tcPr>
          <w:p w14:paraId="3561DE16" w14:textId="77777777" w:rsidR="00EC05A7" w:rsidRDefault="005A700D">
            <w:pPr>
              <w:jc w:val="center"/>
            </w:pPr>
            <w:r>
              <w:rPr>
                <w:rFonts w:ascii="Arial" w:eastAsia="Arial" w:hAnsi="Arial" w:cs="Arial"/>
                <w:b/>
                <w:bCs/>
                <w:color w:val="FFFFFF"/>
                <w:sz w:val="18"/>
                <w:szCs w:val="18"/>
              </w:rPr>
              <w:lastRenderedPageBreak/>
              <w:t>Outcome Measure</w:t>
            </w:r>
          </w:p>
        </w:tc>
        <w:tc>
          <w:tcPr>
            <w:tcW w:w="1872" w:type="dxa"/>
            <w:tcBorders>
              <w:top w:val="single" w:sz="4" w:space="0" w:color="AAAAAA"/>
              <w:left w:val="single" w:sz="4" w:space="0" w:color="AAAAAA"/>
              <w:bottom w:val="single" w:sz="4" w:space="0" w:color="AAAAAA"/>
              <w:right w:val="single" w:sz="4" w:space="0" w:color="AAAAAA"/>
            </w:tcBorders>
            <w:shd w:val="clear" w:color="auto" w:fill="1F497D"/>
            <w:tcMar>
              <w:top w:w="60" w:type="dxa"/>
              <w:left w:w="100" w:type="dxa"/>
              <w:bottom w:w="60" w:type="dxa"/>
              <w:right w:w="100" w:type="dxa"/>
            </w:tcMar>
            <w:vAlign w:val="center"/>
          </w:tcPr>
          <w:p w14:paraId="0691B8CE" w14:textId="77777777" w:rsidR="00EC05A7" w:rsidRDefault="005A700D">
            <w:pPr>
              <w:jc w:val="center"/>
            </w:pPr>
            <w:r>
              <w:rPr>
                <w:rFonts w:ascii="Arial" w:eastAsia="Arial" w:hAnsi="Arial" w:cs="Arial"/>
                <w:b/>
                <w:bCs/>
                <w:color w:val="FFFFFF"/>
                <w:sz w:val="18"/>
                <w:szCs w:val="18"/>
              </w:rPr>
              <w:t>Group A Change</w:t>
            </w:r>
          </w:p>
        </w:tc>
        <w:tc>
          <w:tcPr>
            <w:tcW w:w="1872" w:type="dxa"/>
            <w:tcBorders>
              <w:top w:val="single" w:sz="4" w:space="0" w:color="AAAAAA"/>
              <w:left w:val="single" w:sz="4" w:space="0" w:color="AAAAAA"/>
              <w:bottom w:val="single" w:sz="4" w:space="0" w:color="AAAAAA"/>
              <w:right w:val="single" w:sz="4" w:space="0" w:color="AAAAAA"/>
            </w:tcBorders>
            <w:shd w:val="clear" w:color="auto" w:fill="1F497D"/>
            <w:tcMar>
              <w:top w:w="60" w:type="dxa"/>
              <w:left w:w="100" w:type="dxa"/>
              <w:bottom w:w="60" w:type="dxa"/>
              <w:right w:w="100" w:type="dxa"/>
            </w:tcMar>
            <w:vAlign w:val="center"/>
          </w:tcPr>
          <w:p w14:paraId="1F6B5CE7" w14:textId="77777777" w:rsidR="00EC05A7" w:rsidRDefault="005A700D">
            <w:pPr>
              <w:jc w:val="center"/>
            </w:pPr>
            <w:r>
              <w:rPr>
                <w:rFonts w:ascii="Arial" w:eastAsia="Arial" w:hAnsi="Arial" w:cs="Arial"/>
                <w:b/>
                <w:bCs/>
                <w:color w:val="FFFFFF"/>
                <w:sz w:val="18"/>
                <w:szCs w:val="18"/>
              </w:rPr>
              <w:t>Group B Change</w:t>
            </w:r>
          </w:p>
        </w:tc>
        <w:tc>
          <w:tcPr>
            <w:tcW w:w="1872" w:type="dxa"/>
            <w:tcBorders>
              <w:top w:val="single" w:sz="4" w:space="0" w:color="AAAAAA"/>
              <w:left w:val="single" w:sz="4" w:space="0" w:color="AAAAAA"/>
              <w:bottom w:val="single" w:sz="4" w:space="0" w:color="AAAAAA"/>
              <w:right w:val="single" w:sz="4" w:space="0" w:color="AAAAAA"/>
            </w:tcBorders>
            <w:shd w:val="clear" w:color="auto" w:fill="1F497D"/>
            <w:tcMar>
              <w:top w:w="60" w:type="dxa"/>
              <w:left w:w="100" w:type="dxa"/>
              <w:bottom w:w="60" w:type="dxa"/>
              <w:right w:w="100" w:type="dxa"/>
            </w:tcMar>
            <w:vAlign w:val="center"/>
          </w:tcPr>
          <w:p w14:paraId="74D7C7E1" w14:textId="77777777" w:rsidR="00EC05A7" w:rsidRDefault="005A700D">
            <w:pPr>
              <w:jc w:val="center"/>
            </w:pPr>
            <w:r>
              <w:rPr>
                <w:rFonts w:ascii="Arial" w:eastAsia="Arial" w:hAnsi="Arial" w:cs="Arial"/>
                <w:b/>
                <w:bCs/>
                <w:color w:val="FFFFFF"/>
                <w:sz w:val="18"/>
                <w:szCs w:val="18"/>
              </w:rPr>
              <w:t>p-value</w:t>
            </w:r>
          </w:p>
        </w:tc>
        <w:tc>
          <w:tcPr>
            <w:tcW w:w="1872" w:type="dxa"/>
            <w:tcBorders>
              <w:top w:val="single" w:sz="4" w:space="0" w:color="AAAAAA"/>
              <w:left w:val="single" w:sz="4" w:space="0" w:color="AAAAAA"/>
              <w:bottom w:val="single" w:sz="4" w:space="0" w:color="AAAAAA"/>
              <w:right w:val="single" w:sz="4" w:space="0" w:color="AAAAAA"/>
            </w:tcBorders>
            <w:shd w:val="clear" w:color="auto" w:fill="1F497D"/>
            <w:tcMar>
              <w:top w:w="60" w:type="dxa"/>
              <w:left w:w="100" w:type="dxa"/>
              <w:bottom w:w="60" w:type="dxa"/>
              <w:right w:w="100" w:type="dxa"/>
            </w:tcMar>
            <w:vAlign w:val="center"/>
          </w:tcPr>
          <w:p w14:paraId="151C0B43" w14:textId="77777777" w:rsidR="00EC05A7" w:rsidRDefault="005A700D">
            <w:pPr>
              <w:jc w:val="center"/>
            </w:pPr>
            <w:r>
              <w:rPr>
                <w:rFonts w:ascii="Arial" w:eastAsia="Arial" w:hAnsi="Arial" w:cs="Arial"/>
                <w:b/>
                <w:bCs/>
                <w:color w:val="FFFFFF"/>
                <w:sz w:val="18"/>
                <w:szCs w:val="18"/>
              </w:rPr>
              <w:t>Cohen's d</w:t>
            </w:r>
          </w:p>
        </w:tc>
      </w:tr>
      <w:tr w:rsidR="00EC05A7" w14:paraId="5773A482" w14:textId="77777777">
        <w:tblPrEx>
          <w:tblCellMar>
            <w:top w:w="0" w:type="dxa"/>
            <w:bottom w:w="0" w:type="dxa"/>
          </w:tblCellMar>
        </w:tblPrEx>
        <w:tc>
          <w:tcPr>
            <w:tcW w:w="1872"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4E55B2F6" w14:textId="77777777" w:rsidR="00EC05A7" w:rsidRDefault="005A700D">
            <w:r>
              <w:rPr>
                <w:b/>
                <w:bCs/>
                <w:color w:val="000000"/>
                <w:sz w:val="18"/>
                <w:szCs w:val="18"/>
              </w:rPr>
              <w:t>NPRS</w:t>
            </w:r>
          </w:p>
        </w:tc>
        <w:tc>
          <w:tcPr>
            <w:tcW w:w="1872"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48BF58D0" w14:textId="77777777" w:rsidR="00EC05A7" w:rsidRDefault="005A700D">
            <w:pPr>
              <w:jc w:val="center"/>
            </w:pPr>
            <w:r>
              <w:rPr>
                <w:color w:val="000000"/>
                <w:sz w:val="18"/>
                <w:szCs w:val="18"/>
              </w:rPr>
              <w:t>−3.8 ± 0.9</w:t>
            </w:r>
          </w:p>
        </w:tc>
        <w:tc>
          <w:tcPr>
            <w:tcW w:w="1872"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6FBF0E68" w14:textId="77777777" w:rsidR="00EC05A7" w:rsidRDefault="005A700D">
            <w:pPr>
              <w:jc w:val="center"/>
            </w:pPr>
            <w:r>
              <w:rPr>
                <w:color w:val="000000"/>
                <w:sz w:val="18"/>
                <w:szCs w:val="18"/>
              </w:rPr>
              <w:t>−2.9 ± 1.1</w:t>
            </w:r>
          </w:p>
        </w:tc>
        <w:tc>
          <w:tcPr>
            <w:tcW w:w="1872"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0F98ACBC" w14:textId="77777777" w:rsidR="00EC05A7" w:rsidRDefault="005A700D">
            <w:pPr>
              <w:jc w:val="center"/>
            </w:pPr>
            <w:r>
              <w:rPr>
                <w:color w:val="000000"/>
                <w:sz w:val="18"/>
                <w:szCs w:val="18"/>
              </w:rPr>
              <w:t>0.002**</w:t>
            </w:r>
          </w:p>
        </w:tc>
        <w:tc>
          <w:tcPr>
            <w:tcW w:w="1872"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6F2772FF" w14:textId="77777777" w:rsidR="00EC05A7" w:rsidRDefault="005A700D">
            <w:pPr>
              <w:jc w:val="center"/>
            </w:pPr>
            <w:r>
              <w:rPr>
                <w:color w:val="000000"/>
                <w:sz w:val="18"/>
                <w:szCs w:val="18"/>
              </w:rPr>
              <w:t>0.89</w:t>
            </w:r>
          </w:p>
        </w:tc>
      </w:tr>
      <w:tr w:rsidR="00EC05A7" w14:paraId="1B7834E3" w14:textId="77777777">
        <w:tblPrEx>
          <w:tblCellMar>
            <w:top w:w="0" w:type="dxa"/>
            <w:bottom w:w="0" w:type="dxa"/>
          </w:tblCellMar>
        </w:tblPrEx>
        <w:tc>
          <w:tcPr>
            <w:tcW w:w="1872"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0A7B0372" w14:textId="77777777" w:rsidR="00EC05A7" w:rsidRDefault="005A700D">
            <w:r>
              <w:rPr>
                <w:b/>
                <w:bCs/>
                <w:color w:val="000000"/>
                <w:sz w:val="18"/>
                <w:szCs w:val="18"/>
              </w:rPr>
              <w:t>ASLR</w:t>
            </w:r>
          </w:p>
        </w:tc>
        <w:tc>
          <w:tcPr>
            <w:tcW w:w="1872"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2C3FD554" w14:textId="77777777" w:rsidR="00EC05A7" w:rsidRDefault="005A700D">
            <w:pPr>
              <w:jc w:val="center"/>
            </w:pPr>
            <w:r>
              <w:rPr>
                <w:color w:val="000000"/>
                <w:sz w:val="18"/>
                <w:szCs w:val="18"/>
              </w:rPr>
              <w:t>−1.6 ± 0.5</w:t>
            </w:r>
          </w:p>
        </w:tc>
        <w:tc>
          <w:tcPr>
            <w:tcW w:w="1872"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27E7B1BD" w14:textId="77777777" w:rsidR="00EC05A7" w:rsidRDefault="005A700D">
            <w:pPr>
              <w:jc w:val="center"/>
            </w:pPr>
            <w:r>
              <w:rPr>
                <w:color w:val="000000"/>
                <w:sz w:val="18"/>
                <w:szCs w:val="18"/>
              </w:rPr>
              <w:t>−1.2 ± 0.6</w:t>
            </w:r>
          </w:p>
        </w:tc>
        <w:tc>
          <w:tcPr>
            <w:tcW w:w="1872"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7E9A584D" w14:textId="77777777" w:rsidR="00EC05A7" w:rsidRDefault="005A700D">
            <w:pPr>
              <w:jc w:val="center"/>
            </w:pPr>
            <w:r>
              <w:rPr>
                <w:color w:val="000000"/>
                <w:sz w:val="18"/>
                <w:szCs w:val="18"/>
              </w:rPr>
              <w:t>0.014*</w:t>
            </w:r>
          </w:p>
        </w:tc>
        <w:tc>
          <w:tcPr>
            <w:tcW w:w="1872"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023A8E78" w14:textId="77777777" w:rsidR="00EC05A7" w:rsidRDefault="005A700D">
            <w:pPr>
              <w:jc w:val="center"/>
            </w:pPr>
            <w:r>
              <w:rPr>
                <w:color w:val="000000"/>
                <w:sz w:val="18"/>
                <w:szCs w:val="18"/>
              </w:rPr>
              <w:t>0.73</w:t>
            </w:r>
          </w:p>
        </w:tc>
      </w:tr>
      <w:tr w:rsidR="00EC05A7" w14:paraId="666A8BFF" w14:textId="77777777">
        <w:tblPrEx>
          <w:tblCellMar>
            <w:top w:w="0" w:type="dxa"/>
            <w:bottom w:w="0" w:type="dxa"/>
          </w:tblCellMar>
        </w:tblPrEx>
        <w:tc>
          <w:tcPr>
            <w:tcW w:w="1872"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6D91B125" w14:textId="77777777" w:rsidR="00EC05A7" w:rsidRDefault="005A700D">
            <w:r>
              <w:rPr>
                <w:b/>
                <w:bCs/>
                <w:color w:val="000000"/>
                <w:sz w:val="18"/>
                <w:szCs w:val="18"/>
              </w:rPr>
              <w:t>ODI (%)</w:t>
            </w:r>
          </w:p>
        </w:tc>
        <w:tc>
          <w:tcPr>
            <w:tcW w:w="1872"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0945D0A1" w14:textId="77777777" w:rsidR="00EC05A7" w:rsidRDefault="005A700D">
            <w:pPr>
              <w:jc w:val="center"/>
            </w:pPr>
            <w:r>
              <w:rPr>
                <w:color w:val="000000"/>
                <w:sz w:val="18"/>
                <w:szCs w:val="18"/>
              </w:rPr>
              <w:t>−22.4 ± 5.1</w:t>
            </w:r>
          </w:p>
        </w:tc>
        <w:tc>
          <w:tcPr>
            <w:tcW w:w="1872"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56617173" w14:textId="77777777" w:rsidR="00EC05A7" w:rsidRDefault="005A700D">
            <w:pPr>
              <w:jc w:val="center"/>
            </w:pPr>
            <w:r>
              <w:rPr>
                <w:color w:val="000000"/>
                <w:sz w:val="18"/>
                <w:szCs w:val="18"/>
              </w:rPr>
              <w:t>−17.6 ± 6.3</w:t>
            </w:r>
          </w:p>
        </w:tc>
        <w:tc>
          <w:tcPr>
            <w:tcW w:w="1872"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734A351F" w14:textId="77777777" w:rsidR="00EC05A7" w:rsidRDefault="005A700D">
            <w:pPr>
              <w:jc w:val="center"/>
            </w:pPr>
            <w:r>
              <w:rPr>
                <w:color w:val="000000"/>
                <w:sz w:val="18"/>
                <w:szCs w:val="18"/>
              </w:rPr>
              <w:t>0.003**</w:t>
            </w:r>
          </w:p>
        </w:tc>
        <w:tc>
          <w:tcPr>
            <w:tcW w:w="1872"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00E4D922" w14:textId="77777777" w:rsidR="00EC05A7" w:rsidRDefault="005A700D">
            <w:pPr>
              <w:jc w:val="center"/>
            </w:pPr>
            <w:r>
              <w:rPr>
                <w:color w:val="000000"/>
                <w:sz w:val="18"/>
                <w:szCs w:val="18"/>
              </w:rPr>
              <w:t>0.85</w:t>
            </w:r>
          </w:p>
        </w:tc>
      </w:tr>
    </w:tbl>
    <w:p w14:paraId="20899AA5" w14:textId="77777777" w:rsidR="00EC05A7" w:rsidRDefault="005A700D">
      <w:pPr>
        <w:spacing w:before="60" w:after="80" w:line="276" w:lineRule="auto"/>
        <w:jc w:val="both"/>
      </w:pPr>
      <w:r>
        <w:rPr>
          <w:i/>
          <w:iCs/>
          <w:color w:val="000000"/>
        </w:rPr>
        <w:t>* p &lt; 0.05; ** p &lt; 0.01. Large effect size: Cohen's d &gt; 0.8; Medium effect size: 0.5–0.8.</w:t>
      </w:r>
    </w:p>
    <w:p w14:paraId="59FE652F" w14:textId="77777777" w:rsidR="00EC05A7" w:rsidRDefault="005A700D">
      <w:pPr>
        <w:spacing w:before="140" w:after="60" w:line="276" w:lineRule="auto"/>
        <w:jc w:val="center"/>
      </w:pPr>
      <w:r>
        <w:rPr>
          <w:b/>
          <w:bCs/>
          <w:color w:val="000000"/>
        </w:rPr>
        <w:t>Table 5: Subgroup Analysis by Gender</w:t>
      </w:r>
    </w:p>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1170"/>
        <w:gridCol w:w="1170"/>
        <w:gridCol w:w="1170"/>
        <w:gridCol w:w="1170"/>
        <w:gridCol w:w="1170"/>
        <w:gridCol w:w="1170"/>
      </w:tblGrid>
      <w:tr w:rsidR="00EC05A7" w14:paraId="1CAB2D3A" w14:textId="77777777">
        <w:tblPrEx>
          <w:tblCellMar>
            <w:top w:w="0" w:type="dxa"/>
            <w:bottom w:w="0" w:type="dxa"/>
          </w:tblCellMar>
        </w:tblPrEx>
        <w:tc>
          <w:tcPr>
            <w:tcW w:w="2340" w:type="dxa"/>
            <w:tcBorders>
              <w:top w:val="single" w:sz="4" w:space="0" w:color="AAAAAA"/>
              <w:left w:val="single" w:sz="4" w:space="0" w:color="AAAAAA"/>
              <w:bottom w:val="single" w:sz="4" w:space="0" w:color="AAAAAA"/>
              <w:right w:val="single" w:sz="4" w:space="0" w:color="AAAAAA"/>
            </w:tcBorders>
            <w:shd w:val="clear" w:color="auto" w:fill="1F497D"/>
            <w:tcMar>
              <w:top w:w="60" w:type="dxa"/>
              <w:left w:w="100" w:type="dxa"/>
              <w:bottom w:w="60" w:type="dxa"/>
              <w:right w:w="100" w:type="dxa"/>
            </w:tcMar>
            <w:vAlign w:val="center"/>
          </w:tcPr>
          <w:p w14:paraId="0F7CB397" w14:textId="77777777" w:rsidR="00EC05A7" w:rsidRDefault="005A700D">
            <w:pPr>
              <w:jc w:val="center"/>
            </w:pPr>
            <w:r>
              <w:rPr>
                <w:rFonts w:ascii="Arial" w:eastAsia="Arial" w:hAnsi="Arial" w:cs="Arial"/>
                <w:b/>
                <w:bCs/>
                <w:color w:val="FFFFFF"/>
                <w:sz w:val="18"/>
                <w:szCs w:val="18"/>
              </w:rPr>
              <w:t>Outcome / Group</w:t>
            </w:r>
          </w:p>
        </w:tc>
        <w:tc>
          <w:tcPr>
            <w:tcW w:w="1170" w:type="dxa"/>
            <w:tcBorders>
              <w:top w:val="single" w:sz="4" w:space="0" w:color="AAAAAA"/>
              <w:left w:val="single" w:sz="4" w:space="0" w:color="AAAAAA"/>
              <w:bottom w:val="single" w:sz="4" w:space="0" w:color="AAAAAA"/>
              <w:right w:val="single" w:sz="4" w:space="0" w:color="AAAAAA"/>
            </w:tcBorders>
            <w:shd w:val="clear" w:color="auto" w:fill="1F497D"/>
            <w:tcMar>
              <w:top w:w="60" w:type="dxa"/>
              <w:left w:w="100" w:type="dxa"/>
              <w:bottom w:w="60" w:type="dxa"/>
              <w:right w:w="100" w:type="dxa"/>
            </w:tcMar>
            <w:vAlign w:val="center"/>
          </w:tcPr>
          <w:p w14:paraId="3E025078" w14:textId="77777777" w:rsidR="00EC05A7" w:rsidRDefault="005A700D">
            <w:pPr>
              <w:jc w:val="center"/>
            </w:pPr>
            <w:r>
              <w:rPr>
                <w:rFonts w:ascii="Arial" w:eastAsia="Arial" w:hAnsi="Arial" w:cs="Arial"/>
                <w:b/>
                <w:bCs/>
                <w:color w:val="FFFFFF"/>
                <w:sz w:val="18"/>
                <w:szCs w:val="18"/>
              </w:rPr>
              <w:t>M-Base</w:t>
            </w:r>
          </w:p>
        </w:tc>
        <w:tc>
          <w:tcPr>
            <w:tcW w:w="1170" w:type="dxa"/>
            <w:tcBorders>
              <w:top w:val="single" w:sz="4" w:space="0" w:color="AAAAAA"/>
              <w:left w:val="single" w:sz="4" w:space="0" w:color="AAAAAA"/>
              <w:bottom w:val="single" w:sz="4" w:space="0" w:color="AAAAAA"/>
              <w:right w:val="single" w:sz="4" w:space="0" w:color="AAAAAA"/>
            </w:tcBorders>
            <w:shd w:val="clear" w:color="auto" w:fill="1F497D"/>
            <w:tcMar>
              <w:top w:w="60" w:type="dxa"/>
              <w:left w:w="100" w:type="dxa"/>
              <w:bottom w:w="60" w:type="dxa"/>
              <w:right w:w="100" w:type="dxa"/>
            </w:tcMar>
            <w:vAlign w:val="center"/>
          </w:tcPr>
          <w:p w14:paraId="79D5D04D" w14:textId="77777777" w:rsidR="00EC05A7" w:rsidRDefault="005A700D">
            <w:pPr>
              <w:jc w:val="center"/>
            </w:pPr>
            <w:r>
              <w:rPr>
                <w:rFonts w:ascii="Arial" w:eastAsia="Arial" w:hAnsi="Arial" w:cs="Arial"/>
                <w:b/>
                <w:bCs/>
                <w:color w:val="FFFFFF"/>
                <w:sz w:val="18"/>
                <w:szCs w:val="18"/>
              </w:rPr>
              <w:t>M-4Wks</w:t>
            </w:r>
          </w:p>
        </w:tc>
        <w:tc>
          <w:tcPr>
            <w:tcW w:w="1170" w:type="dxa"/>
            <w:tcBorders>
              <w:top w:val="single" w:sz="4" w:space="0" w:color="AAAAAA"/>
              <w:left w:val="single" w:sz="4" w:space="0" w:color="AAAAAA"/>
              <w:bottom w:val="single" w:sz="4" w:space="0" w:color="AAAAAA"/>
              <w:right w:val="single" w:sz="4" w:space="0" w:color="AAAAAA"/>
            </w:tcBorders>
            <w:shd w:val="clear" w:color="auto" w:fill="1F497D"/>
            <w:tcMar>
              <w:top w:w="60" w:type="dxa"/>
              <w:left w:w="100" w:type="dxa"/>
              <w:bottom w:w="60" w:type="dxa"/>
              <w:right w:w="100" w:type="dxa"/>
            </w:tcMar>
            <w:vAlign w:val="center"/>
          </w:tcPr>
          <w:p w14:paraId="1AA50978" w14:textId="77777777" w:rsidR="00EC05A7" w:rsidRDefault="005A700D">
            <w:pPr>
              <w:jc w:val="center"/>
            </w:pPr>
            <w:r>
              <w:rPr>
                <w:rFonts w:ascii="Arial" w:eastAsia="Arial" w:hAnsi="Arial" w:cs="Arial"/>
                <w:b/>
                <w:bCs/>
                <w:color w:val="FFFFFF"/>
                <w:sz w:val="18"/>
                <w:szCs w:val="18"/>
              </w:rPr>
              <w:t>F-Base</w:t>
            </w:r>
          </w:p>
        </w:tc>
        <w:tc>
          <w:tcPr>
            <w:tcW w:w="1170" w:type="dxa"/>
            <w:tcBorders>
              <w:top w:val="single" w:sz="4" w:space="0" w:color="AAAAAA"/>
              <w:left w:val="single" w:sz="4" w:space="0" w:color="AAAAAA"/>
              <w:bottom w:val="single" w:sz="4" w:space="0" w:color="AAAAAA"/>
              <w:right w:val="single" w:sz="4" w:space="0" w:color="AAAAAA"/>
            </w:tcBorders>
            <w:shd w:val="clear" w:color="auto" w:fill="1F497D"/>
            <w:tcMar>
              <w:top w:w="60" w:type="dxa"/>
              <w:left w:w="100" w:type="dxa"/>
              <w:bottom w:w="60" w:type="dxa"/>
              <w:right w:w="100" w:type="dxa"/>
            </w:tcMar>
            <w:vAlign w:val="center"/>
          </w:tcPr>
          <w:p w14:paraId="4868FEDC" w14:textId="77777777" w:rsidR="00EC05A7" w:rsidRDefault="005A700D">
            <w:pPr>
              <w:jc w:val="center"/>
            </w:pPr>
            <w:r>
              <w:rPr>
                <w:rFonts w:ascii="Arial" w:eastAsia="Arial" w:hAnsi="Arial" w:cs="Arial"/>
                <w:b/>
                <w:bCs/>
                <w:color w:val="FFFFFF"/>
                <w:sz w:val="18"/>
                <w:szCs w:val="18"/>
              </w:rPr>
              <w:t>F-4Wks</w:t>
            </w:r>
          </w:p>
        </w:tc>
        <w:tc>
          <w:tcPr>
            <w:tcW w:w="1170" w:type="dxa"/>
            <w:tcBorders>
              <w:top w:val="single" w:sz="4" w:space="0" w:color="AAAAAA"/>
              <w:left w:val="single" w:sz="4" w:space="0" w:color="AAAAAA"/>
              <w:bottom w:val="single" w:sz="4" w:space="0" w:color="AAAAAA"/>
              <w:right w:val="single" w:sz="4" w:space="0" w:color="AAAAAA"/>
            </w:tcBorders>
            <w:shd w:val="clear" w:color="auto" w:fill="1F497D"/>
            <w:tcMar>
              <w:top w:w="60" w:type="dxa"/>
              <w:left w:w="100" w:type="dxa"/>
              <w:bottom w:w="60" w:type="dxa"/>
              <w:right w:w="100" w:type="dxa"/>
            </w:tcMar>
            <w:vAlign w:val="center"/>
          </w:tcPr>
          <w:p w14:paraId="7F061596" w14:textId="77777777" w:rsidR="00EC05A7" w:rsidRDefault="005A700D">
            <w:pPr>
              <w:jc w:val="center"/>
            </w:pPr>
            <w:r>
              <w:rPr>
                <w:rFonts w:ascii="Arial" w:eastAsia="Arial" w:hAnsi="Arial" w:cs="Arial"/>
                <w:b/>
                <w:bCs/>
                <w:color w:val="FFFFFF"/>
                <w:sz w:val="18"/>
                <w:szCs w:val="18"/>
              </w:rPr>
              <w:t>p-</w:t>
            </w:r>
            <w:proofErr w:type="spellStart"/>
            <w:r>
              <w:rPr>
                <w:rFonts w:ascii="Arial" w:eastAsia="Arial" w:hAnsi="Arial" w:cs="Arial"/>
                <w:b/>
                <w:bCs/>
                <w:color w:val="FFFFFF"/>
                <w:sz w:val="18"/>
                <w:szCs w:val="18"/>
              </w:rPr>
              <w:t>val</w:t>
            </w:r>
            <w:proofErr w:type="spellEnd"/>
          </w:p>
        </w:tc>
        <w:tc>
          <w:tcPr>
            <w:tcW w:w="1170" w:type="dxa"/>
            <w:tcBorders>
              <w:top w:val="single" w:sz="4" w:space="0" w:color="AAAAAA"/>
              <w:left w:val="single" w:sz="4" w:space="0" w:color="AAAAAA"/>
              <w:bottom w:val="single" w:sz="4" w:space="0" w:color="AAAAAA"/>
              <w:right w:val="single" w:sz="4" w:space="0" w:color="AAAAAA"/>
            </w:tcBorders>
            <w:shd w:val="clear" w:color="auto" w:fill="1F497D"/>
            <w:tcMar>
              <w:top w:w="60" w:type="dxa"/>
              <w:left w:w="100" w:type="dxa"/>
              <w:bottom w:w="60" w:type="dxa"/>
              <w:right w:w="100" w:type="dxa"/>
            </w:tcMar>
            <w:vAlign w:val="center"/>
          </w:tcPr>
          <w:p w14:paraId="27770944" w14:textId="77777777" w:rsidR="00EC05A7" w:rsidRDefault="005A700D">
            <w:pPr>
              <w:jc w:val="center"/>
            </w:pPr>
            <w:r>
              <w:rPr>
                <w:rFonts w:ascii="Arial" w:eastAsia="Arial" w:hAnsi="Arial" w:cs="Arial"/>
                <w:b/>
                <w:bCs/>
                <w:color w:val="FFFFFF"/>
                <w:sz w:val="18"/>
                <w:szCs w:val="18"/>
              </w:rPr>
              <w:t>Effect</w:t>
            </w:r>
          </w:p>
        </w:tc>
      </w:tr>
      <w:tr w:rsidR="00EC05A7" w14:paraId="2F6B3658" w14:textId="77777777">
        <w:tblPrEx>
          <w:tblCellMar>
            <w:top w:w="0" w:type="dxa"/>
            <w:bottom w:w="0" w:type="dxa"/>
          </w:tblCellMar>
        </w:tblPrEx>
        <w:tc>
          <w:tcPr>
            <w:tcW w:w="234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6DF2D466" w14:textId="77777777" w:rsidR="00EC05A7" w:rsidRDefault="005A700D">
            <w:r>
              <w:rPr>
                <w:color w:val="000000"/>
                <w:sz w:val="18"/>
                <w:szCs w:val="18"/>
              </w:rPr>
              <w:t>NPRS (Gr-A)</w:t>
            </w:r>
          </w:p>
        </w:tc>
        <w:tc>
          <w:tcPr>
            <w:tcW w:w="117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17CB2E17" w14:textId="77777777" w:rsidR="00EC05A7" w:rsidRDefault="005A700D">
            <w:pPr>
              <w:jc w:val="center"/>
            </w:pPr>
            <w:r>
              <w:rPr>
                <w:color w:val="000000"/>
                <w:sz w:val="18"/>
                <w:szCs w:val="18"/>
              </w:rPr>
              <w:t>6.9</w:t>
            </w:r>
          </w:p>
        </w:tc>
        <w:tc>
          <w:tcPr>
            <w:tcW w:w="117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68B3E485" w14:textId="77777777" w:rsidR="00EC05A7" w:rsidRDefault="005A700D">
            <w:pPr>
              <w:jc w:val="center"/>
            </w:pPr>
            <w:r>
              <w:rPr>
                <w:color w:val="000000"/>
                <w:sz w:val="18"/>
                <w:szCs w:val="18"/>
              </w:rPr>
              <w:t>2.9</w:t>
            </w:r>
          </w:p>
        </w:tc>
        <w:tc>
          <w:tcPr>
            <w:tcW w:w="117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5852BD0C" w14:textId="77777777" w:rsidR="00EC05A7" w:rsidRDefault="005A700D">
            <w:pPr>
              <w:jc w:val="center"/>
            </w:pPr>
            <w:r>
              <w:rPr>
                <w:color w:val="000000"/>
                <w:sz w:val="18"/>
                <w:szCs w:val="18"/>
              </w:rPr>
              <w:t>6.7</w:t>
            </w:r>
          </w:p>
        </w:tc>
        <w:tc>
          <w:tcPr>
            <w:tcW w:w="117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792B636D" w14:textId="77777777" w:rsidR="00EC05A7" w:rsidRDefault="005A700D">
            <w:pPr>
              <w:jc w:val="center"/>
            </w:pPr>
            <w:r>
              <w:rPr>
                <w:color w:val="000000"/>
                <w:sz w:val="18"/>
                <w:szCs w:val="18"/>
              </w:rPr>
              <w:t>3.1</w:t>
            </w:r>
          </w:p>
        </w:tc>
        <w:tc>
          <w:tcPr>
            <w:tcW w:w="117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10924649" w14:textId="77777777" w:rsidR="00EC05A7" w:rsidRDefault="005A700D">
            <w:pPr>
              <w:jc w:val="center"/>
            </w:pPr>
            <w:r>
              <w:rPr>
                <w:color w:val="000000"/>
                <w:sz w:val="18"/>
                <w:szCs w:val="18"/>
              </w:rPr>
              <w:t>0.657</w:t>
            </w:r>
          </w:p>
        </w:tc>
        <w:tc>
          <w:tcPr>
            <w:tcW w:w="117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569F1165" w14:textId="77777777" w:rsidR="00EC05A7" w:rsidRDefault="005A700D">
            <w:pPr>
              <w:jc w:val="center"/>
            </w:pPr>
            <w:r>
              <w:rPr>
                <w:color w:val="000000"/>
                <w:sz w:val="18"/>
                <w:szCs w:val="18"/>
              </w:rPr>
              <w:t>None</w:t>
            </w:r>
          </w:p>
        </w:tc>
      </w:tr>
      <w:tr w:rsidR="00EC05A7" w14:paraId="6070F9C0" w14:textId="77777777">
        <w:tblPrEx>
          <w:tblCellMar>
            <w:top w:w="0" w:type="dxa"/>
            <w:bottom w:w="0" w:type="dxa"/>
          </w:tblCellMar>
        </w:tblPrEx>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3F10A1F7" w14:textId="77777777" w:rsidR="00EC05A7" w:rsidRDefault="005A700D">
            <w:r>
              <w:rPr>
                <w:color w:val="000000"/>
                <w:sz w:val="18"/>
                <w:szCs w:val="18"/>
              </w:rPr>
              <w:t>NPRS (Gr-B)</w:t>
            </w:r>
          </w:p>
        </w:tc>
        <w:tc>
          <w:tcPr>
            <w:tcW w:w="117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7C224BF5" w14:textId="77777777" w:rsidR="00EC05A7" w:rsidRDefault="005A700D">
            <w:pPr>
              <w:jc w:val="center"/>
            </w:pPr>
            <w:r>
              <w:rPr>
                <w:color w:val="000000"/>
                <w:sz w:val="18"/>
                <w:szCs w:val="18"/>
              </w:rPr>
              <w:t>6.8</w:t>
            </w:r>
          </w:p>
        </w:tc>
        <w:tc>
          <w:tcPr>
            <w:tcW w:w="117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4AC8DDEE" w14:textId="77777777" w:rsidR="00EC05A7" w:rsidRDefault="005A700D">
            <w:pPr>
              <w:jc w:val="center"/>
            </w:pPr>
            <w:r>
              <w:rPr>
                <w:color w:val="000000"/>
                <w:sz w:val="18"/>
                <w:szCs w:val="18"/>
              </w:rPr>
              <w:t>3.6</w:t>
            </w:r>
          </w:p>
        </w:tc>
        <w:tc>
          <w:tcPr>
            <w:tcW w:w="117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16F6CAE8" w14:textId="77777777" w:rsidR="00EC05A7" w:rsidRDefault="005A700D">
            <w:pPr>
              <w:jc w:val="center"/>
            </w:pPr>
            <w:r>
              <w:rPr>
                <w:color w:val="000000"/>
                <w:sz w:val="18"/>
                <w:szCs w:val="18"/>
              </w:rPr>
              <w:t>6.6</w:t>
            </w:r>
          </w:p>
        </w:tc>
        <w:tc>
          <w:tcPr>
            <w:tcW w:w="117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14D2D8C9" w14:textId="77777777" w:rsidR="00EC05A7" w:rsidRDefault="005A700D">
            <w:pPr>
              <w:jc w:val="center"/>
            </w:pPr>
            <w:r>
              <w:rPr>
                <w:color w:val="000000"/>
                <w:sz w:val="18"/>
                <w:szCs w:val="18"/>
              </w:rPr>
              <w:t>4.0</w:t>
            </w:r>
          </w:p>
        </w:tc>
        <w:tc>
          <w:tcPr>
            <w:tcW w:w="117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77D35AD4" w14:textId="77777777" w:rsidR="00EC05A7" w:rsidRDefault="005A700D">
            <w:pPr>
              <w:jc w:val="center"/>
            </w:pPr>
            <w:r>
              <w:rPr>
                <w:color w:val="000000"/>
                <w:sz w:val="18"/>
                <w:szCs w:val="18"/>
              </w:rPr>
              <w:t>0.723</w:t>
            </w:r>
          </w:p>
        </w:tc>
        <w:tc>
          <w:tcPr>
            <w:tcW w:w="117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02505F9F" w14:textId="77777777" w:rsidR="00EC05A7" w:rsidRDefault="005A700D">
            <w:pPr>
              <w:jc w:val="center"/>
            </w:pPr>
            <w:r>
              <w:rPr>
                <w:color w:val="000000"/>
                <w:sz w:val="18"/>
                <w:szCs w:val="18"/>
              </w:rPr>
              <w:t>None</w:t>
            </w:r>
          </w:p>
        </w:tc>
      </w:tr>
      <w:tr w:rsidR="00EC05A7" w14:paraId="4993AC86" w14:textId="77777777">
        <w:tblPrEx>
          <w:tblCellMar>
            <w:top w:w="0" w:type="dxa"/>
            <w:bottom w:w="0" w:type="dxa"/>
          </w:tblCellMar>
        </w:tblPrEx>
        <w:tc>
          <w:tcPr>
            <w:tcW w:w="234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692A3449" w14:textId="77777777" w:rsidR="00EC05A7" w:rsidRDefault="005A700D">
            <w:r>
              <w:rPr>
                <w:color w:val="000000"/>
                <w:sz w:val="18"/>
                <w:szCs w:val="18"/>
              </w:rPr>
              <w:t>ASLR (Gr-A)</w:t>
            </w:r>
          </w:p>
        </w:tc>
        <w:tc>
          <w:tcPr>
            <w:tcW w:w="117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1324B6D4" w14:textId="77777777" w:rsidR="00EC05A7" w:rsidRDefault="005A700D">
            <w:pPr>
              <w:jc w:val="center"/>
            </w:pPr>
            <w:r>
              <w:rPr>
                <w:color w:val="000000"/>
                <w:sz w:val="18"/>
                <w:szCs w:val="18"/>
              </w:rPr>
              <w:t>3.3</w:t>
            </w:r>
          </w:p>
        </w:tc>
        <w:tc>
          <w:tcPr>
            <w:tcW w:w="117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0286A27C" w14:textId="77777777" w:rsidR="00EC05A7" w:rsidRDefault="005A700D">
            <w:pPr>
              <w:jc w:val="center"/>
            </w:pPr>
            <w:r>
              <w:rPr>
                <w:color w:val="000000"/>
                <w:sz w:val="18"/>
                <w:szCs w:val="18"/>
              </w:rPr>
              <w:t>1.5</w:t>
            </w:r>
          </w:p>
        </w:tc>
        <w:tc>
          <w:tcPr>
            <w:tcW w:w="117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02141CC2" w14:textId="77777777" w:rsidR="00EC05A7" w:rsidRDefault="005A700D">
            <w:pPr>
              <w:jc w:val="center"/>
            </w:pPr>
            <w:r>
              <w:rPr>
                <w:color w:val="000000"/>
                <w:sz w:val="18"/>
                <w:szCs w:val="18"/>
              </w:rPr>
              <w:t>3.1</w:t>
            </w:r>
          </w:p>
        </w:tc>
        <w:tc>
          <w:tcPr>
            <w:tcW w:w="117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589FEA50" w14:textId="77777777" w:rsidR="00EC05A7" w:rsidRDefault="005A700D">
            <w:pPr>
              <w:jc w:val="center"/>
            </w:pPr>
            <w:r>
              <w:rPr>
                <w:color w:val="000000"/>
                <w:sz w:val="18"/>
                <w:szCs w:val="18"/>
              </w:rPr>
              <w:t>1.7</w:t>
            </w:r>
          </w:p>
        </w:tc>
        <w:tc>
          <w:tcPr>
            <w:tcW w:w="117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09ECD381" w14:textId="77777777" w:rsidR="00EC05A7" w:rsidRDefault="005A700D">
            <w:pPr>
              <w:jc w:val="center"/>
            </w:pPr>
            <w:r>
              <w:rPr>
                <w:color w:val="000000"/>
                <w:sz w:val="18"/>
                <w:szCs w:val="18"/>
              </w:rPr>
              <w:t>0.592</w:t>
            </w:r>
          </w:p>
        </w:tc>
        <w:tc>
          <w:tcPr>
            <w:tcW w:w="117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5D7AC2E5" w14:textId="77777777" w:rsidR="00EC05A7" w:rsidRDefault="005A700D">
            <w:pPr>
              <w:jc w:val="center"/>
            </w:pPr>
            <w:r>
              <w:rPr>
                <w:color w:val="000000"/>
                <w:sz w:val="18"/>
                <w:szCs w:val="18"/>
              </w:rPr>
              <w:t>None</w:t>
            </w:r>
          </w:p>
        </w:tc>
      </w:tr>
      <w:tr w:rsidR="00EC05A7" w14:paraId="2336123E" w14:textId="77777777">
        <w:tblPrEx>
          <w:tblCellMar>
            <w:top w:w="0" w:type="dxa"/>
            <w:bottom w:w="0" w:type="dxa"/>
          </w:tblCellMar>
        </w:tblPrEx>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414E68A5" w14:textId="77777777" w:rsidR="00EC05A7" w:rsidRDefault="005A700D">
            <w:r>
              <w:rPr>
                <w:color w:val="000000"/>
                <w:sz w:val="18"/>
                <w:szCs w:val="18"/>
              </w:rPr>
              <w:t>ASLR (Gr-B)</w:t>
            </w:r>
          </w:p>
        </w:tc>
        <w:tc>
          <w:tcPr>
            <w:tcW w:w="117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78116538" w14:textId="77777777" w:rsidR="00EC05A7" w:rsidRDefault="005A700D">
            <w:pPr>
              <w:jc w:val="center"/>
            </w:pPr>
            <w:r>
              <w:rPr>
                <w:color w:val="000000"/>
                <w:sz w:val="18"/>
                <w:szCs w:val="18"/>
              </w:rPr>
              <w:t>3.2</w:t>
            </w:r>
          </w:p>
        </w:tc>
        <w:tc>
          <w:tcPr>
            <w:tcW w:w="117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4E650908" w14:textId="77777777" w:rsidR="00EC05A7" w:rsidRDefault="005A700D">
            <w:pPr>
              <w:jc w:val="center"/>
            </w:pPr>
            <w:r>
              <w:rPr>
                <w:color w:val="000000"/>
                <w:sz w:val="18"/>
                <w:szCs w:val="18"/>
              </w:rPr>
              <w:t>1.8</w:t>
            </w:r>
          </w:p>
        </w:tc>
        <w:tc>
          <w:tcPr>
            <w:tcW w:w="117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15186322" w14:textId="77777777" w:rsidR="00EC05A7" w:rsidRDefault="005A700D">
            <w:pPr>
              <w:jc w:val="center"/>
            </w:pPr>
            <w:r>
              <w:rPr>
                <w:color w:val="000000"/>
                <w:sz w:val="18"/>
                <w:szCs w:val="18"/>
              </w:rPr>
              <w:t>3.0</w:t>
            </w:r>
          </w:p>
        </w:tc>
        <w:tc>
          <w:tcPr>
            <w:tcW w:w="117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639FC00E" w14:textId="77777777" w:rsidR="00EC05A7" w:rsidRDefault="005A700D">
            <w:pPr>
              <w:jc w:val="center"/>
            </w:pPr>
            <w:r>
              <w:rPr>
                <w:color w:val="000000"/>
                <w:sz w:val="18"/>
                <w:szCs w:val="18"/>
              </w:rPr>
              <w:t>2.0</w:t>
            </w:r>
          </w:p>
        </w:tc>
        <w:tc>
          <w:tcPr>
            <w:tcW w:w="117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0297B57A" w14:textId="77777777" w:rsidR="00EC05A7" w:rsidRDefault="005A700D">
            <w:pPr>
              <w:jc w:val="center"/>
            </w:pPr>
            <w:r>
              <w:rPr>
                <w:color w:val="000000"/>
                <w:sz w:val="18"/>
                <w:szCs w:val="18"/>
              </w:rPr>
              <w:t>0.641</w:t>
            </w:r>
          </w:p>
        </w:tc>
        <w:tc>
          <w:tcPr>
            <w:tcW w:w="117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1119BB60" w14:textId="77777777" w:rsidR="00EC05A7" w:rsidRDefault="005A700D">
            <w:pPr>
              <w:jc w:val="center"/>
            </w:pPr>
            <w:r>
              <w:rPr>
                <w:color w:val="000000"/>
                <w:sz w:val="18"/>
                <w:szCs w:val="18"/>
              </w:rPr>
              <w:t>None</w:t>
            </w:r>
          </w:p>
        </w:tc>
      </w:tr>
    </w:tbl>
    <w:p w14:paraId="6C66A020" w14:textId="77777777" w:rsidR="00EC05A7" w:rsidRDefault="005A700D">
      <w:pPr>
        <w:spacing w:before="60" w:after="80" w:line="276" w:lineRule="auto"/>
        <w:jc w:val="both"/>
      </w:pPr>
      <w:r>
        <w:rPr>
          <w:i/>
          <w:iCs/>
          <w:color w:val="000000"/>
        </w:rPr>
        <w:t xml:space="preserve">M = Male; F = Female; Base = Baseline; </w:t>
      </w:r>
      <w:proofErr w:type="spellStart"/>
      <w:r>
        <w:rPr>
          <w:i/>
          <w:iCs/>
          <w:color w:val="000000"/>
        </w:rPr>
        <w:t>Wks</w:t>
      </w:r>
      <w:proofErr w:type="spellEnd"/>
      <w:r>
        <w:rPr>
          <w:i/>
          <w:iCs/>
          <w:color w:val="000000"/>
        </w:rPr>
        <w:t xml:space="preserve"> = Weeks; Gr = Group. p-values &gt; 0.05 indicate no significant gender differences.</w:t>
      </w:r>
    </w:p>
    <w:p w14:paraId="3819D008" w14:textId="77777777" w:rsidR="00EC05A7" w:rsidRDefault="005A700D">
      <w:pPr>
        <w:spacing w:before="140" w:after="60" w:line="276" w:lineRule="auto"/>
        <w:jc w:val="center"/>
      </w:pPr>
      <w:r>
        <w:rPr>
          <w:b/>
          <w:bCs/>
          <w:color w:val="000000"/>
        </w:rPr>
        <w:t>Table 6: Detailed Treatment Protocols and Session Structure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3510"/>
        <w:gridCol w:w="3510"/>
      </w:tblGrid>
      <w:tr w:rsidR="00EC05A7" w14:paraId="04C804E2" w14:textId="77777777">
        <w:tblPrEx>
          <w:tblCellMar>
            <w:top w:w="0" w:type="dxa"/>
            <w:bottom w:w="0" w:type="dxa"/>
          </w:tblCellMar>
        </w:tblPrEx>
        <w:tc>
          <w:tcPr>
            <w:tcW w:w="2340" w:type="dxa"/>
            <w:tcBorders>
              <w:top w:val="single" w:sz="4" w:space="0" w:color="AAAAAA"/>
              <w:left w:val="single" w:sz="4" w:space="0" w:color="AAAAAA"/>
              <w:bottom w:val="single" w:sz="4" w:space="0" w:color="AAAAAA"/>
              <w:right w:val="single" w:sz="4" w:space="0" w:color="AAAAAA"/>
            </w:tcBorders>
            <w:shd w:val="clear" w:color="auto" w:fill="1F497D"/>
            <w:tcMar>
              <w:top w:w="60" w:type="dxa"/>
              <w:left w:w="100" w:type="dxa"/>
              <w:bottom w:w="60" w:type="dxa"/>
              <w:right w:w="100" w:type="dxa"/>
            </w:tcMar>
            <w:vAlign w:val="center"/>
          </w:tcPr>
          <w:p w14:paraId="514E85AB" w14:textId="77777777" w:rsidR="00EC05A7" w:rsidRDefault="005A700D">
            <w:pPr>
              <w:jc w:val="center"/>
            </w:pPr>
            <w:r>
              <w:rPr>
                <w:rFonts w:ascii="Arial" w:eastAsia="Arial" w:hAnsi="Arial" w:cs="Arial"/>
                <w:b/>
                <w:bCs/>
                <w:color w:val="FFFFFF"/>
                <w:sz w:val="18"/>
                <w:szCs w:val="18"/>
              </w:rPr>
              <w:t>Component</w:t>
            </w:r>
          </w:p>
        </w:tc>
        <w:tc>
          <w:tcPr>
            <w:tcW w:w="3510" w:type="dxa"/>
            <w:tcBorders>
              <w:top w:val="single" w:sz="4" w:space="0" w:color="AAAAAA"/>
              <w:left w:val="single" w:sz="4" w:space="0" w:color="AAAAAA"/>
              <w:bottom w:val="single" w:sz="4" w:space="0" w:color="AAAAAA"/>
              <w:right w:val="single" w:sz="4" w:space="0" w:color="AAAAAA"/>
            </w:tcBorders>
            <w:shd w:val="clear" w:color="auto" w:fill="1F497D"/>
            <w:tcMar>
              <w:top w:w="60" w:type="dxa"/>
              <w:left w:w="100" w:type="dxa"/>
              <w:bottom w:w="60" w:type="dxa"/>
              <w:right w:w="100" w:type="dxa"/>
            </w:tcMar>
            <w:vAlign w:val="center"/>
          </w:tcPr>
          <w:p w14:paraId="4C6AC4E4" w14:textId="77777777" w:rsidR="00EC05A7" w:rsidRDefault="005A700D">
            <w:pPr>
              <w:jc w:val="center"/>
            </w:pPr>
            <w:r>
              <w:rPr>
                <w:rFonts w:ascii="Arial" w:eastAsia="Arial" w:hAnsi="Arial" w:cs="Arial"/>
                <w:b/>
                <w:bCs/>
                <w:color w:val="FFFFFF"/>
                <w:sz w:val="18"/>
                <w:szCs w:val="18"/>
              </w:rPr>
              <w:t>Group A (MET + NMCT)</w:t>
            </w:r>
          </w:p>
        </w:tc>
        <w:tc>
          <w:tcPr>
            <w:tcW w:w="3510" w:type="dxa"/>
            <w:tcBorders>
              <w:top w:val="single" w:sz="4" w:space="0" w:color="AAAAAA"/>
              <w:left w:val="single" w:sz="4" w:space="0" w:color="AAAAAA"/>
              <w:bottom w:val="single" w:sz="4" w:space="0" w:color="AAAAAA"/>
              <w:right w:val="single" w:sz="4" w:space="0" w:color="AAAAAA"/>
            </w:tcBorders>
            <w:shd w:val="clear" w:color="auto" w:fill="1F497D"/>
            <w:tcMar>
              <w:top w:w="60" w:type="dxa"/>
              <w:left w:w="100" w:type="dxa"/>
              <w:bottom w:w="60" w:type="dxa"/>
              <w:right w:w="100" w:type="dxa"/>
            </w:tcMar>
            <w:vAlign w:val="center"/>
          </w:tcPr>
          <w:p w14:paraId="37103B84" w14:textId="77777777" w:rsidR="00EC05A7" w:rsidRDefault="005A700D">
            <w:pPr>
              <w:jc w:val="center"/>
            </w:pPr>
            <w:r>
              <w:rPr>
                <w:rFonts w:ascii="Arial" w:eastAsia="Arial" w:hAnsi="Arial" w:cs="Arial"/>
                <w:b/>
                <w:bCs/>
                <w:color w:val="FFFFFF"/>
                <w:sz w:val="18"/>
                <w:szCs w:val="18"/>
              </w:rPr>
              <w:t>Group B (MWM + CS)</w:t>
            </w:r>
          </w:p>
        </w:tc>
      </w:tr>
      <w:tr w:rsidR="00EC05A7" w14:paraId="6F65EDC1" w14:textId="77777777">
        <w:tblPrEx>
          <w:tblCellMar>
            <w:top w:w="0" w:type="dxa"/>
            <w:bottom w:w="0" w:type="dxa"/>
          </w:tblCellMar>
        </w:tblPrEx>
        <w:tc>
          <w:tcPr>
            <w:tcW w:w="234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087001FC" w14:textId="77777777" w:rsidR="00EC05A7" w:rsidRDefault="005A700D">
            <w:r>
              <w:rPr>
                <w:color w:val="000000"/>
                <w:sz w:val="18"/>
                <w:szCs w:val="18"/>
              </w:rPr>
              <w:t>Session Duration</w:t>
            </w:r>
          </w:p>
        </w:tc>
        <w:tc>
          <w:tcPr>
            <w:tcW w:w="351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4C08D6A5" w14:textId="77777777" w:rsidR="00EC05A7" w:rsidRDefault="005A700D">
            <w:pPr>
              <w:jc w:val="center"/>
            </w:pPr>
            <w:r>
              <w:rPr>
                <w:color w:val="000000"/>
                <w:sz w:val="18"/>
                <w:szCs w:val="18"/>
              </w:rPr>
              <w:t>45–50 minutes</w:t>
            </w:r>
          </w:p>
        </w:tc>
        <w:tc>
          <w:tcPr>
            <w:tcW w:w="351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0A1F5754" w14:textId="77777777" w:rsidR="00EC05A7" w:rsidRDefault="005A700D">
            <w:pPr>
              <w:jc w:val="center"/>
            </w:pPr>
            <w:r>
              <w:rPr>
                <w:color w:val="000000"/>
                <w:sz w:val="18"/>
                <w:szCs w:val="18"/>
              </w:rPr>
              <w:t>45–50 minutes</w:t>
            </w:r>
          </w:p>
        </w:tc>
      </w:tr>
      <w:tr w:rsidR="00EC05A7" w14:paraId="762F4C20" w14:textId="77777777">
        <w:tblPrEx>
          <w:tblCellMar>
            <w:top w:w="0" w:type="dxa"/>
            <w:bottom w:w="0" w:type="dxa"/>
          </w:tblCellMar>
        </w:tblPrEx>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345F06D1" w14:textId="77777777" w:rsidR="00EC05A7" w:rsidRDefault="005A700D">
            <w:r>
              <w:rPr>
                <w:color w:val="000000"/>
                <w:sz w:val="18"/>
                <w:szCs w:val="18"/>
              </w:rPr>
              <w:t>Frequency</w:t>
            </w:r>
          </w:p>
        </w:tc>
        <w:tc>
          <w:tcPr>
            <w:tcW w:w="351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3C954396" w14:textId="77777777" w:rsidR="00EC05A7" w:rsidRDefault="005A700D">
            <w:pPr>
              <w:jc w:val="center"/>
            </w:pPr>
            <w:r>
              <w:rPr>
                <w:color w:val="000000"/>
                <w:sz w:val="18"/>
                <w:szCs w:val="18"/>
              </w:rPr>
              <w:t>3× per week × 4 weeks (12 sessions)</w:t>
            </w:r>
          </w:p>
        </w:tc>
        <w:tc>
          <w:tcPr>
            <w:tcW w:w="351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454EAC28" w14:textId="77777777" w:rsidR="00EC05A7" w:rsidRDefault="005A700D">
            <w:pPr>
              <w:jc w:val="center"/>
            </w:pPr>
            <w:r>
              <w:rPr>
                <w:color w:val="000000"/>
                <w:sz w:val="18"/>
                <w:szCs w:val="18"/>
              </w:rPr>
              <w:t>3× per week × 4 weeks (12 sessions)</w:t>
            </w:r>
          </w:p>
        </w:tc>
      </w:tr>
      <w:tr w:rsidR="00EC05A7" w14:paraId="722DDEAA" w14:textId="77777777">
        <w:tblPrEx>
          <w:tblCellMar>
            <w:top w:w="0" w:type="dxa"/>
            <w:bottom w:w="0" w:type="dxa"/>
          </w:tblCellMar>
        </w:tblPrEx>
        <w:tc>
          <w:tcPr>
            <w:tcW w:w="234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0F88606A" w14:textId="77777777" w:rsidR="00EC05A7" w:rsidRDefault="005A700D">
            <w:r>
              <w:rPr>
                <w:color w:val="000000"/>
                <w:sz w:val="18"/>
                <w:szCs w:val="18"/>
              </w:rPr>
              <w:t>Manual Therapy</w:t>
            </w:r>
          </w:p>
        </w:tc>
        <w:tc>
          <w:tcPr>
            <w:tcW w:w="351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7DE76E7D" w14:textId="77777777" w:rsidR="00EC05A7" w:rsidRDefault="005A700D">
            <w:pPr>
              <w:jc w:val="center"/>
            </w:pPr>
            <w:r>
              <w:rPr>
                <w:color w:val="000000"/>
                <w:sz w:val="18"/>
                <w:szCs w:val="18"/>
              </w:rPr>
              <w:t>MET: 5-sec isometric, 10-sec stretch, 3–5 reps/muscle</w:t>
            </w:r>
          </w:p>
        </w:tc>
        <w:tc>
          <w:tcPr>
            <w:tcW w:w="351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3286A327" w14:textId="77777777" w:rsidR="00EC05A7" w:rsidRDefault="005A700D">
            <w:pPr>
              <w:jc w:val="center"/>
            </w:pPr>
            <w:r>
              <w:rPr>
                <w:color w:val="000000"/>
                <w:sz w:val="18"/>
                <w:szCs w:val="18"/>
              </w:rPr>
              <w:t>MWM: 3 sets × 10 reps with accessory force</w:t>
            </w:r>
          </w:p>
        </w:tc>
      </w:tr>
      <w:tr w:rsidR="00EC05A7" w14:paraId="0F1B3E6A" w14:textId="77777777">
        <w:tblPrEx>
          <w:tblCellMar>
            <w:top w:w="0" w:type="dxa"/>
            <w:bottom w:w="0" w:type="dxa"/>
          </w:tblCellMar>
        </w:tblPrEx>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64C4153E" w14:textId="77777777" w:rsidR="00EC05A7" w:rsidRDefault="005A700D">
            <w:r>
              <w:rPr>
                <w:color w:val="000000"/>
                <w:sz w:val="18"/>
                <w:szCs w:val="18"/>
              </w:rPr>
              <w:t>Target Muscles</w:t>
            </w:r>
          </w:p>
        </w:tc>
        <w:tc>
          <w:tcPr>
            <w:tcW w:w="351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516FE488" w14:textId="77777777" w:rsidR="00EC05A7" w:rsidRDefault="005A700D">
            <w:pPr>
              <w:jc w:val="center"/>
            </w:pPr>
            <w:r>
              <w:rPr>
                <w:color w:val="000000"/>
                <w:sz w:val="18"/>
                <w:szCs w:val="18"/>
              </w:rPr>
              <w:t xml:space="preserve">Piriformis, iliopsoas, hip adductors, </w:t>
            </w:r>
            <w:proofErr w:type="spellStart"/>
            <w:r>
              <w:rPr>
                <w:color w:val="000000"/>
                <w:sz w:val="18"/>
                <w:szCs w:val="18"/>
              </w:rPr>
              <w:t>glute</w:t>
            </w:r>
            <w:proofErr w:type="spellEnd"/>
            <w:r>
              <w:rPr>
                <w:color w:val="000000"/>
                <w:sz w:val="18"/>
                <w:szCs w:val="18"/>
              </w:rPr>
              <w:t xml:space="preserve"> med.</w:t>
            </w:r>
          </w:p>
        </w:tc>
        <w:tc>
          <w:tcPr>
            <w:tcW w:w="351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4C9F1CA8" w14:textId="77777777" w:rsidR="00EC05A7" w:rsidRDefault="005A700D">
            <w:pPr>
              <w:jc w:val="center"/>
            </w:pPr>
            <w:r>
              <w:rPr>
                <w:color w:val="000000"/>
                <w:sz w:val="18"/>
                <w:szCs w:val="18"/>
              </w:rPr>
              <w:t>N/A</w:t>
            </w:r>
          </w:p>
        </w:tc>
      </w:tr>
      <w:tr w:rsidR="00EC05A7" w14:paraId="17221E96" w14:textId="77777777">
        <w:tblPrEx>
          <w:tblCellMar>
            <w:top w:w="0" w:type="dxa"/>
            <w:bottom w:w="0" w:type="dxa"/>
          </w:tblCellMar>
        </w:tblPrEx>
        <w:tc>
          <w:tcPr>
            <w:tcW w:w="234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233612C5" w14:textId="77777777" w:rsidR="00EC05A7" w:rsidRDefault="005A700D">
            <w:r>
              <w:rPr>
                <w:color w:val="000000"/>
                <w:sz w:val="18"/>
                <w:szCs w:val="18"/>
              </w:rPr>
              <w:t>Exercise Training</w:t>
            </w:r>
          </w:p>
        </w:tc>
        <w:tc>
          <w:tcPr>
            <w:tcW w:w="351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6C7AD420" w14:textId="77777777" w:rsidR="00EC05A7" w:rsidRDefault="005A700D">
            <w:pPr>
              <w:jc w:val="center"/>
            </w:pPr>
            <w:r>
              <w:rPr>
                <w:color w:val="000000"/>
                <w:sz w:val="18"/>
                <w:szCs w:val="18"/>
              </w:rPr>
              <w:t xml:space="preserve">Phase 1: </w:t>
            </w:r>
            <w:proofErr w:type="spellStart"/>
            <w:r>
              <w:rPr>
                <w:color w:val="000000"/>
                <w:sz w:val="18"/>
                <w:szCs w:val="18"/>
              </w:rPr>
              <w:t>TrA</w:t>
            </w:r>
            <w:proofErr w:type="spellEnd"/>
            <w:r>
              <w:rPr>
                <w:color w:val="000000"/>
                <w:sz w:val="18"/>
                <w:szCs w:val="18"/>
              </w:rPr>
              <w:t xml:space="preserve"> activation; Phase 2: Functional; Phase 3: Balance</w:t>
            </w:r>
          </w:p>
        </w:tc>
        <w:tc>
          <w:tcPr>
            <w:tcW w:w="351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3F28B12F" w14:textId="77777777" w:rsidR="00EC05A7" w:rsidRDefault="005A700D">
            <w:pPr>
              <w:jc w:val="center"/>
            </w:pPr>
            <w:r>
              <w:rPr>
                <w:color w:val="000000"/>
                <w:sz w:val="18"/>
                <w:szCs w:val="18"/>
              </w:rPr>
              <w:t>Phase 1: Pelvic/bridge; Phase 2: Quadruped; Phase 3: Dynamic</w:t>
            </w:r>
          </w:p>
        </w:tc>
      </w:tr>
      <w:tr w:rsidR="00EC05A7" w14:paraId="397B2789" w14:textId="77777777">
        <w:tblPrEx>
          <w:tblCellMar>
            <w:top w:w="0" w:type="dxa"/>
            <w:bottom w:w="0" w:type="dxa"/>
          </w:tblCellMar>
        </w:tblPrEx>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12FC110C" w14:textId="77777777" w:rsidR="00EC05A7" w:rsidRDefault="005A700D">
            <w:r>
              <w:rPr>
                <w:color w:val="000000"/>
                <w:sz w:val="18"/>
                <w:szCs w:val="18"/>
              </w:rPr>
              <w:t>Progression</w:t>
            </w:r>
          </w:p>
        </w:tc>
        <w:tc>
          <w:tcPr>
            <w:tcW w:w="351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6B26C7CF" w14:textId="77777777" w:rsidR="00EC05A7" w:rsidRDefault="005A700D">
            <w:pPr>
              <w:jc w:val="center"/>
            </w:pPr>
            <w:r>
              <w:rPr>
                <w:color w:val="000000"/>
                <w:sz w:val="18"/>
                <w:szCs w:val="18"/>
              </w:rPr>
              <w:t>Increased resistance &amp; complexity</w:t>
            </w:r>
          </w:p>
        </w:tc>
        <w:tc>
          <w:tcPr>
            <w:tcW w:w="351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49CC30DB" w14:textId="77777777" w:rsidR="00EC05A7" w:rsidRDefault="005A700D">
            <w:pPr>
              <w:jc w:val="center"/>
            </w:pPr>
            <w:r>
              <w:rPr>
                <w:color w:val="000000"/>
                <w:sz w:val="18"/>
                <w:szCs w:val="18"/>
              </w:rPr>
              <w:t>Increased load &amp; instability</w:t>
            </w:r>
          </w:p>
        </w:tc>
      </w:tr>
    </w:tbl>
    <w:p w14:paraId="44A894C7" w14:textId="77777777" w:rsidR="00EC05A7" w:rsidRDefault="005A700D">
      <w:pPr>
        <w:spacing w:before="60" w:after="80" w:line="276" w:lineRule="auto"/>
        <w:jc w:val="both"/>
      </w:pPr>
      <w:r>
        <w:rPr>
          <w:i/>
          <w:iCs/>
          <w:color w:val="000000"/>
        </w:rPr>
        <w:t xml:space="preserve">MET = Muscle Energy Technique; NMCT = Neuromuscular Control Training; MWM = Mobilization with Movement; CS = Core Stabilization; </w:t>
      </w:r>
      <w:proofErr w:type="spellStart"/>
      <w:r>
        <w:rPr>
          <w:i/>
          <w:iCs/>
          <w:color w:val="000000"/>
        </w:rPr>
        <w:t>TrA</w:t>
      </w:r>
      <w:proofErr w:type="spellEnd"/>
      <w:r>
        <w:rPr>
          <w:i/>
          <w:iCs/>
          <w:color w:val="000000"/>
        </w:rPr>
        <w:t xml:space="preserve"> = </w:t>
      </w:r>
      <w:proofErr w:type="spellStart"/>
      <w:r>
        <w:rPr>
          <w:i/>
          <w:iCs/>
          <w:color w:val="000000"/>
        </w:rPr>
        <w:t>Transversus</w:t>
      </w:r>
      <w:proofErr w:type="spellEnd"/>
      <w:r>
        <w:rPr>
          <w:i/>
          <w:iCs/>
          <w:color w:val="000000"/>
        </w:rPr>
        <w:t xml:space="preserve"> Abdominis.</w:t>
      </w:r>
    </w:p>
    <w:p w14:paraId="12606040" w14:textId="77777777" w:rsidR="00EC05A7" w:rsidRDefault="005A700D">
      <w:pPr>
        <w:spacing w:before="140" w:after="60" w:line="276" w:lineRule="auto"/>
        <w:jc w:val="center"/>
      </w:pPr>
      <w:r>
        <w:rPr>
          <w:b/>
          <w:bCs/>
          <w:color w:val="000000"/>
        </w:rPr>
        <w:t>Table 7: Adverse Events and Safety Profile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94"/>
        <w:gridCol w:w="1535"/>
        <w:gridCol w:w="1535"/>
        <w:gridCol w:w="1539"/>
        <w:gridCol w:w="1546"/>
        <w:gridCol w:w="911"/>
      </w:tblGrid>
      <w:tr w:rsidR="00EC05A7" w14:paraId="7878AA7E" w14:textId="77777777">
        <w:tblPrEx>
          <w:tblCellMar>
            <w:top w:w="0" w:type="dxa"/>
            <w:bottom w:w="0" w:type="dxa"/>
          </w:tblCellMar>
        </w:tblPrEx>
        <w:tc>
          <w:tcPr>
            <w:tcW w:w="2340" w:type="dxa"/>
            <w:tcBorders>
              <w:top w:val="single" w:sz="4" w:space="0" w:color="AAAAAA"/>
              <w:left w:val="single" w:sz="4" w:space="0" w:color="AAAAAA"/>
              <w:bottom w:val="single" w:sz="4" w:space="0" w:color="AAAAAA"/>
              <w:right w:val="single" w:sz="4" w:space="0" w:color="AAAAAA"/>
            </w:tcBorders>
            <w:shd w:val="clear" w:color="auto" w:fill="1F497D"/>
            <w:tcMar>
              <w:top w:w="60" w:type="dxa"/>
              <w:left w:w="100" w:type="dxa"/>
              <w:bottom w:w="60" w:type="dxa"/>
              <w:right w:w="100" w:type="dxa"/>
            </w:tcMar>
            <w:vAlign w:val="center"/>
          </w:tcPr>
          <w:p w14:paraId="16593571" w14:textId="77777777" w:rsidR="00EC05A7" w:rsidRDefault="005A700D">
            <w:pPr>
              <w:jc w:val="center"/>
            </w:pPr>
            <w:r>
              <w:rPr>
                <w:rFonts w:ascii="Arial" w:eastAsia="Arial" w:hAnsi="Arial" w:cs="Arial"/>
                <w:b/>
                <w:bCs/>
                <w:color w:val="FFFFFF"/>
                <w:sz w:val="18"/>
                <w:szCs w:val="18"/>
              </w:rPr>
              <w:t>Adverse Event</w:t>
            </w:r>
          </w:p>
        </w:tc>
        <w:tc>
          <w:tcPr>
            <w:tcW w:w="1560" w:type="dxa"/>
            <w:tcBorders>
              <w:top w:val="single" w:sz="4" w:space="0" w:color="AAAAAA"/>
              <w:left w:val="single" w:sz="4" w:space="0" w:color="AAAAAA"/>
              <w:bottom w:val="single" w:sz="4" w:space="0" w:color="AAAAAA"/>
              <w:right w:val="single" w:sz="4" w:space="0" w:color="AAAAAA"/>
            </w:tcBorders>
            <w:shd w:val="clear" w:color="auto" w:fill="1F497D"/>
            <w:tcMar>
              <w:top w:w="60" w:type="dxa"/>
              <w:left w:w="100" w:type="dxa"/>
              <w:bottom w:w="60" w:type="dxa"/>
              <w:right w:w="100" w:type="dxa"/>
            </w:tcMar>
            <w:vAlign w:val="center"/>
          </w:tcPr>
          <w:p w14:paraId="776400BF" w14:textId="77777777" w:rsidR="00EC05A7" w:rsidRDefault="005A700D">
            <w:pPr>
              <w:jc w:val="center"/>
            </w:pPr>
            <w:r>
              <w:rPr>
                <w:rFonts w:ascii="Arial" w:eastAsia="Arial" w:hAnsi="Arial" w:cs="Arial"/>
                <w:b/>
                <w:bCs/>
                <w:color w:val="FFFFFF"/>
                <w:sz w:val="18"/>
                <w:szCs w:val="18"/>
              </w:rPr>
              <w:t>Gr-A n (%)</w:t>
            </w:r>
          </w:p>
        </w:tc>
        <w:tc>
          <w:tcPr>
            <w:tcW w:w="1560" w:type="dxa"/>
            <w:tcBorders>
              <w:top w:val="single" w:sz="4" w:space="0" w:color="AAAAAA"/>
              <w:left w:val="single" w:sz="4" w:space="0" w:color="AAAAAA"/>
              <w:bottom w:val="single" w:sz="4" w:space="0" w:color="AAAAAA"/>
              <w:right w:val="single" w:sz="4" w:space="0" w:color="AAAAAA"/>
            </w:tcBorders>
            <w:shd w:val="clear" w:color="auto" w:fill="1F497D"/>
            <w:tcMar>
              <w:top w:w="60" w:type="dxa"/>
              <w:left w:w="100" w:type="dxa"/>
              <w:bottom w:w="60" w:type="dxa"/>
              <w:right w:w="100" w:type="dxa"/>
            </w:tcMar>
            <w:vAlign w:val="center"/>
          </w:tcPr>
          <w:p w14:paraId="527D9147" w14:textId="77777777" w:rsidR="00EC05A7" w:rsidRDefault="005A700D">
            <w:pPr>
              <w:jc w:val="center"/>
            </w:pPr>
            <w:r>
              <w:rPr>
                <w:rFonts w:ascii="Arial" w:eastAsia="Arial" w:hAnsi="Arial" w:cs="Arial"/>
                <w:b/>
                <w:bCs/>
                <w:color w:val="FFFFFF"/>
                <w:sz w:val="18"/>
                <w:szCs w:val="18"/>
              </w:rPr>
              <w:t>Gr-B n (%)</w:t>
            </w:r>
          </w:p>
        </w:tc>
        <w:tc>
          <w:tcPr>
            <w:tcW w:w="1560" w:type="dxa"/>
            <w:tcBorders>
              <w:top w:val="single" w:sz="4" w:space="0" w:color="AAAAAA"/>
              <w:left w:val="single" w:sz="4" w:space="0" w:color="AAAAAA"/>
              <w:bottom w:val="single" w:sz="4" w:space="0" w:color="AAAAAA"/>
              <w:right w:val="single" w:sz="4" w:space="0" w:color="AAAAAA"/>
            </w:tcBorders>
            <w:shd w:val="clear" w:color="auto" w:fill="1F497D"/>
            <w:tcMar>
              <w:top w:w="60" w:type="dxa"/>
              <w:left w:w="100" w:type="dxa"/>
              <w:bottom w:w="60" w:type="dxa"/>
              <w:right w:w="100" w:type="dxa"/>
            </w:tcMar>
            <w:vAlign w:val="center"/>
          </w:tcPr>
          <w:p w14:paraId="363B2E3B" w14:textId="77777777" w:rsidR="00EC05A7" w:rsidRDefault="005A700D">
            <w:pPr>
              <w:jc w:val="center"/>
            </w:pPr>
            <w:r>
              <w:rPr>
                <w:rFonts w:ascii="Arial" w:eastAsia="Arial" w:hAnsi="Arial" w:cs="Arial"/>
                <w:b/>
                <w:bCs/>
                <w:color w:val="FFFFFF"/>
                <w:sz w:val="18"/>
                <w:szCs w:val="18"/>
              </w:rPr>
              <w:t>Severity</w:t>
            </w:r>
          </w:p>
        </w:tc>
        <w:tc>
          <w:tcPr>
            <w:tcW w:w="1560" w:type="dxa"/>
            <w:tcBorders>
              <w:top w:val="single" w:sz="4" w:space="0" w:color="AAAAAA"/>
              <w:left w:val="single" w:sz="4" w:space="0" w:color="AAAAAA"/>
              <w:bottom w:val="single" w:sz="4" w:space="0" w:color="AAAAAA"/>
              <w:right w:val="single" w:sz="4" w:space="0" w:color="AAAAAA"/>
            </w:tcBorders>
            <w:shd w:val="clear" w:color="auto" w:fill="1F497D"/>
            <w:tcMar>
              <w:top w:w="60" w:type="dxa"/>
              <w:left w:w="100" w:type="dxa"/>
              <w:bottom w:w="60" w:type="dxa"/>
              <w:right w:w="100" w:type="dxa"/>
            </w:tcMar>
            <w:vAlign w:val="center"/>
          </w:tcPr>
          <w:p w14:paraId="17695452" w14:textId="77777777" w:rsidR="00EC05A7" w:rsidRDefault="005A700D">
            <w:pPr>
              <w:jc w:val="center"/>
            </w:pPr>
            <w:r>
              <w:rPr>
                <w:rFonts w:ascii="Arial" w:eastAsia="Arial" w:hAnsi="Arial" w:cs="Arial"/>
                <w:b/>
                <w:bCs/>
                <w:color w:val="FFFFFF"/>
                <w:sz w:val="18"/>
                <w:szCs w:val="18"/>
              </w:rPr>
              <w:t>Resolution</w:t>
            </w:r>
          </w:p>
        </w:tc>
        <w:tc>
          <w:tcPr>
            <w:tcW w:w="780" w:type="dxa"/>
            <w:tcBorders>
              <w:top w:val="single" w:sz="4" w:space="0" w:color="AAAAAA"/>
              <w:left w:val="single" w:sz="4" w:space="0" w:color="AAAAAA"/>
              <w:bottom w:val="single" w:sz="4" w:space="0" w:color="AAAAAA"/>
              <w:right w:val="single" w:sz="4" w:space="0" w:color="AAAAAA"/>
            </w:tcBorders>
            <w:shd w:val="clear" w:color="auto" w:fill="1F497D"/>
            <w:tcMar>
              <w:top w:w="60" w:type="dxa"/>
              <w:left w:w="100" w:type="dxa"/>
              <w:bottom w:w="60" w:type="dxa"/>
              <w:right w:w="100" w:type="dxa"/>
            </w:tcMar>
            <w:vAlign w:val="center"/>
          </w:tcPr>
          <w:p w14:paraId="3ED47AD2" w14:textId="77777777" w:rsidR="00EC05A7" w:rsidRDefault="005A700D">
            <w:pPr>
              <w:jc w:val="center"/>
            </w:pPr>
            <w:r>
              <w:rPr>
                <w:rFonts w:ascii="Arial" w:eastAsia="Arial" w:hAnsi="Arial" w:cs="Arial"/>
                <w:b/>
                <w:bCs/>
                <w:color w:val="FFFFFF"/>
                <w:sz w:val="18"/>
                <w:szCs w:val="18"/>
              </w:rPr>
              <w:t>Relation</w:t>
            </w:r>
          </w:p>
        </w:tc>
      </w:tr>
      <w:tr w:rsidR="00EC05A7" w14:paraId="04968090" w14:textId="77777777">
        <w:tblPrEx>
          <w:tblCellMar>
            <w:top w:w="0" w:type="dxa"/>
            <w:bottom w:w="0" w:type="dxa"/>
          </w:tblCellMar>
        </w:tblPrEx>
        <w:tc>
          <w:tcPr>
            <w:tcW w:w="234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4831ACAB" w14:textId="77777777" w:rsidR="00EC05A7" w:rsidRDefault="005A700D">
            <w:r>
              <w:rPr>
                <w:color w:val="000000"/>
                <w:sz w:val="18"/>
                <w:szCs w:val="18"/>
              </w:rPr>
              <w:t>Transient Pain↑</w:t>
            </w:r>
          </w:p>
        </w:tc>
        <w:tc>
          <w:tcPr>
            <w:tcW w:w="156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34B9F091" w14:textId="77777777" w:rsidR="00EC05A7" w:rsidRDefault="005A700D">
            <w:pPr>
              <w:jc w:val="center"/>
            </w:pPr>
            <w:r>
              <w:rPr>
                <w:color w:val="000000"/>
                <w:sz w:val="18"/>
                <w:szCs w:val="18"/>
              </w:rPr>
              <w:t>3(10%)</w:t>
            </w:r>
          </w:p>
        </w:tc>
        <w:tc>
          <w:tcPr>
            <w:tcW w:w="156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5C4EB959" w14:textId="77777777" w:rsidR="00EC05A7" w:rsidRDefault="005A700D">
            <w:pPr>
              <w:jc w:val="center"/>
            </w:pPr>
            <w:r>
              <w:rPr>
                <w:color w:val="000000"/>
                <w:sz w:val="18"/>
                <w:szCs w:val="18"/>
              </w:rPr>
              <w:t>2(6.7%)</w:t>
            </w:r>
          </w:p>
        </w:tc>
        <w:tc>
          <w:tcPr>
            <w:tcW w:w="156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532980E5" w14:textId="77777777" w:rsidR="00EC05A7" w:rsidRDefault="005A700D">
            <w:pPr>
              <w:jc w:val="center"/>
            </w:pPr>
            <w:r>
              <w:rPr>
                <w:color w:val="000000"/>
                <w:sz w:val="18"/>
                <w:szCs w:val="18"/>
              </w:rPr>
              <w:t>Mild</w:t>
            </w:r>
          </w:p>
        </w:tc>
        <w:tc>
          <w:tcPr>
            <w:tcW w:w="156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7A42AACD" w14:textId="77777777" w:rsidR="00EC05A7" w:rsidRDefault="005A700D">
            <w:pPr>
              <w:jc w:val="center"/>
            </w:pPr>
            <w:r>
              <w:rPr>
                <w:color w:val="000000"/>
                <w:sz w:val="18"/>
                <w:szCs w:val="18"/>
              </w:rPr>
              <w:t>Self-limit</w:t>
            </w:r>
          </w:p>
        </w:tc>
        <w:tc>
          <w:tcPr>
            <w:tcW w:w="78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6A9F83F7" w14:textId="77777777" w:rsidR="00EC05A7" w:rsidRDefault="005A700D">
            <w:pPr>
              <w:jc w:val="center"/>
            </w:pPr>
            <w:proofErr w:type="spellStart"/>
            <w:r>
              <w:rPr>
                <w:color w:val="000000"/>
                <w:sz w:val="18"/>
                <w:szCs w:val="18"/>
              </w:rPr>
              <w:t>Poss</w:t>
            </w:r>
            <w:proofErr w:type="spellEnd"/>
          </w:p>
        </w:tc>
      </w:tr>
      <w:tr w:rsidR="00EC05A7" w14:paraId="2B5348F9" w14:textId="77777777">
        <w:tblPrEx>
          <w:tblCellMar>
            <w:top w:w="0" w:type="dxa"/>
            <w:bottom w:w="0" w:type="dxa"/>
          </w:tblCellMar>
        </w:tblPrEx>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1CCEC205" w14:textId="77777777" w:rsidR="00EC05A7" w:rsidRDefault="005A700D">
            <w:r>
              <w:rPr>
                <w:color w:val="000000"/>
                <w:sz w:val="18"/>
                <w:szCs w:val="18"/>
              </w:rPr>
              <w:t>Muscle Soreness</w:t>
            </w:r>
          </w:p>
        </w:tc>
        <w:tc>
          <w:tcPr>
            <w:tcW w:w="156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42F60C03" w14:textId="77777777" w:rsidR="00EC05A7" w:rsidRDefault="005A700D">
            <w:pPr>
              <w:jc w:val="center"/>
            </w:pPr>
            <w:r>
              <w:rPr>
                <w:color w:val="000000"/>
                <w:sz w:val="18"/>
                <w:szCs w:val="18"/>
              </w:rPr>
              <w:t>2(6.7%)</w:t>
            </w:r>
          </w:p>
        </w:tc>
        <w:tc>
          <w:tcPr>
            <w:tcW w:w="156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7437B2E4" w14:textId="77777777" w:rsidR="00EC05A7" w:rsidRDefault="005A700D">
            <w:pPr>
              <w:jc w:val="center"/>
            </w:pPr>
            <w:r>
              <w:rPr>
                <w:color w:val="000000"/>
                <w:sz w:val="18"/>
                <w:szCs w:val="18"/>
              </w:rPr>
              <w:t>3(10%)</w:t>
            </w:r>
          </w:p>
        </w:tc>
        <w:tc>
          <w:tcPr>
            <w:tcW w:w="156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17D6D2EF" w14:textId="77777777" w:rsidR="00EC05A7" w:rsidRDefault="005A700D">
            <w:pPr>
              <w:jc w:val="center"/>
            </w:pPr>
            <w:r>
              <w:rPr>
                <w:color w:val="000000"/>
                <w:sz w:val="18"/>
                <w:szCs w:val="18"/>
              </w:rPr>
              <w:t>Mild</w:t>
            </w:r>
          </w:p>
        </w:tc>
        <w:tc>
          <w:tcPr>
            <w:tcW w:w="156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2766E947" w14:textId="77777777" w:rsidR="00EC05A7" w:rsidRDefault="005A700D">
            <w:pPr>
              <w:jc w:val="center"/>
            </w:pPr>
            <w:r>
              <w:rPr>
                <w:color w:val="000000"/>
                <w:sz w:val="18"/>
                <w:szCs w:val="18"/>
              </w:rPr>
              <w:t>48-72h</w:t>
            </w:r>
          </w:p>
        </w:tc>
        <w:tc>
          <w:tcPr>
            <w:tcW w:w="78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32100317" w14:textId="77777777" w:rsidR="00EC05A7" w:rsidRDefault="005A700D">
            <w:pPr>
              <w:jc w:val="center"/>
            </w:pPr>
            <w:r>
              <w:rPr>
                <w:color w:val="000000"/>
                <w:sz w:val="18"/>
                <w:szCs w:val="18"/>
              </w:rPr>
              <w:t>Likely</w:t>
            </w:r>
          </w:p>
        </w:tc>
      </w:tr>
      <w:tr w:rsidR="00EC05A7" w14:paraId="0D3BBD51" w14:textId="77777777">
        <w:tblPrEx>
          <w:tblCellMar>
            <w:top w:w="0" w:type="dxa"/>
            <w:bottom w:w="0" w:type="dxa"/>
          </w:tblCellMar>
        </w:tblPrEx>
        <w:tc>
          <w:tcPr>
            <w:tcW w:w="234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3523341A" w14:textId="77777777" w:rsidR="00EC05A7" w:rsidRDefault="005A700D">
            <w:r>
              <w:rPr>
                <w:color w:val="000000"/>
                <w:sz w:val="18"/>
                <w:szCs w:val="18"/>
              </w:rPr>
              <w:t>Post-Fatigue</w:t>
            </w:r>
          </w:p>
        </w:tc>
        <w:tc>
          <w:tcPr>
            <w:tcW w:w="156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22929367" w14:textId="77777777" w:rsidR="00EC05A7" w:rsidRDefault="005A700D">
            <w:pPr>
              <w:jc w:val="center"/>
            </w:pPr>
            <w:r>
              <w:rPr>
                <w:color w:val="000000"/>
                <w:sz w:val="18"/>
                <w:szCs w:val="18"/>
              </w:rPr>
              <w:t>1(3.3%)</w:t>
            </w:r>
          </w:p>
        </w:tc>
        <w:tc>
          <w:tcPr>
            <w:tcW w:w="156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6C2D949B" w14:textId="77777777" w:rsidR="00EC05A7" w:rsidRDefault="005A700D">
            <w:pPr>
              <w:jc w:val="center"/>
            </w:pPr>
            <w:r>
              <w:rPr>
                <w:color w:val="000000"/>
                <w:sz w:val="18"/>
                <w:szCs w:val="18"/>
              </w:rPr>
              <w:t>2(6.7%)</w:t>
            </w:r>
          </w:p>
        </w:tc>
        <w:tc>
          <w:tcPr>
            <w:tcW w:w="156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2BAAF55F" w14:textId="77777777" w:rsidR="00EC05A7" w:rsidRDefault="005A700D">
            <w:pPr>
              <w:jc w:val="center"/>
            </w:pPr>
            <w:r>
              <w:rPr>
                <w:color w:val="000000"/>
                <w:sz w:val="18"/>
                <w:szCs w:val="18"/>
              </w:rPr>
              <w:t>Mild</w:t>
            </w:r>
          </w:p>
        </w:tc>
        <w:tc>
          <w:tcPr>
            <w:tcW w:w="156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5894091D" w14:textId="77777777" w:rsidR="00EC05A7" w:rsidRDefault="005A700D">
            <w:pPr>
              <w:jc w:val="center"/>
            </w:pPr>
            <w:r>
              <w:rPr>
                <w:color w:val="000000"/>
                <w:sz w:val="18"/>
                <w:szCs w:val="18"/>
              </w:rPr>
              <w:t>1-2h</w:t>
            </w:r>
          </w:p>
        </w:tc>
        <w:tc>
          <w:tcPr>
            <w:tcW w:w="78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422E81F0" w14:textId="77777777" w:rsidR="00EC05A7" w:rsidRDefault="005A700D">
            <w:pPr>
              <w:jc w:val="center"/>
            </w:pPr>
            <w:r>
              <w:rPr>
                <w:color w:val="000000"/>
                <w:sz w:val="18"/>
                <w:szCs w:val="18"/>
              </w:rPr>
              <w:t>Likely</w:t>
            </w:r>
          </w:p>
        </w:tc>
      </w:tr>
      <w:tr w:rsidR="00EC05A7" w14:paraId="4D87694B" w14:textId="77777777">
        <w:tblPrEx>
          <w:tblCellMar>
            <w:top w:w="0" w:type="dxa"/>
            <w:bottom w:w="0" w:type="dxa"/>
          </w:tblCellMar>
        </w:tblPrEx>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47DA79D5" w14:textId="77777777" w:rsidR="00EC05A7" w:rsidRDefault="005A700D">
            <w:r>
              <w:rPr>
                <w:color w:val="000000"/>
                <w:sz w:val="18"/>
                <w:szCs w:val="18"/>
              </w:rPr>
              <w:t>Serious AE</w:t>
            </w:r>
          </w:p>
        </w:tc>
        <w:tc>
          <w:tcPr>
            <w:tcW w:w="156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2380BD11" w14:textId="77777777" w:rsidR="00EC05A7" w:rsidRDefault="005A700D">
            <w:pPr>
              <w:jc w:val="center"/>
            </w:pPr>
            <w:r>
              <w:rPr>
                <w:color w:val="000000"/>
                <w:sz w:val="18"/>
                <w:szCs w:val="18"/>
              </w:rPr>
              <w:t>0</w:t>
            </w:r>
          </w:p>
        </w:tc>
        <w:tc>
          <w:tcPr>
            <w:tcW w:w="156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1CE2031B" w14:textId="77777777" w:rsidR="00EC05A7" w:rsidRDefault="005A700D">
            <w:pPr>
              <w:jc w:val="center"/>
            </w:pPr>
            <w:r>
              <w:rPr>
                <w:color w:val="000000"/>
                <w:sz w:val="18"/>
                <w:szCs w:val="18"/>
              </w:rPr>
              <w:t>0</w:t>
            </w:r>
          </w:p>
        </w:tc>
        <w:tc>
          <w:tcPr>
            <w:tcW w:w="156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259DD2B1" w14:textId="77777777" w:rsidR="00EC05A7" w:rsidRDefault="005A700D">
            <w:pPr>
              <w:jc w:val="center"/>
            </w:pPr>
            <w:r>
              <w:rPr>
                <w:color w:val="000000"/>
                <w:sz w:val="18"/>
                <w:szCs w:val="18"/>
              </w:rPr>
              <w:t>—</w:t>
            </w:r>
          </w:p>
        </w:tc>
        <w:tc>
          <w:tcPr>
            <w:tcW w:w="156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32A88666" w14:textId="77777777" w:rsidR="00EC05A7" w:rsidRDefault="005A700D">
            <w:pPr>
              <w:jc w:val="center"/>
            </w:pPr>
            <w:r>
              <w:rPr>
                <w:color w:val="000000"/>
                <w:sz w:val="18"/>
                <w:szCs w:val="18"/>
              </w:rPr>
              <w:t>—</w:t>
            </w:r>
          </w:p>
        </w:tc>
        <w:tc>
          <w:tcPr>
            <w:tcW w:w="78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0638D671" w14:textId="77777777" w:rsidR="00EC05A7" w:rsidRDefault="005A700D">
            <w:pPr>
              <w:jc w:val="center"/>
            </w:pPr>
            <w:r>
              <w:rPr>
                <w:color w:val="000000"/>
                <w:sz w:val="18"/>
                <w:szCs w:val="18"/>
              </w:rPr>
              <w:t>—</w:t>
            </w:r>
          </w:p>
        </w:tc>
      </w:tr>
    </w:tbl>
    <w:p w14:paraId="5EDF3D95" w14:textId="77777777" w:rsidR="00EC05A7" w:rsidRDefault="005A700D">
      <w:pPr>
        <w:spacing w:before="60" w:after="80" w:line="276" w:lineRule="auto"/>
        <w:jc w:val="both"/>
      </w:pPr>
      <w:r>
        <w:rPr>
          <w:i/>
          <w:iCs/>
          <w:color w:val="000000"/>
        </w:rPr>
        <w:t xml:space="preserve">Gr = Group; </w:t>
      </w:r>
      <w:proofErr w:type="spellStart"/>
      <w:r>
        <w:rPr>
          <w:i/>
          <w:iCs/>
          <w:color w:val="000000"/>
        </w:rPr>
        <w:t>Poss</w:t>
      </w:r>
      <w:proofErr w:type="spellEnd"/>
      <w:r>
        <w:rPr>
          <w:i/>
          <w:iCs/>
          <w:color w:val="000000"/>
        </w:rPr>
        <w:t xml:space="preserve"> = Possible; AE = Adverse Event. All events were mild and self-limiting. No dropouts due to adverse events.</w:t>
      </w:r>
    </w:p>
    <w:p w14:paraId="354A6714" w14:textId="77777777" w:rsidR="00EC05A7" w:rsidRDefault="005A700D">
      <w:pPr>
        <w:spacing w:before="140" w:after="60" w:line="276" w:lineRule="auto"/>
        <w:jc w:val="center"/>
      </w:pPr>
      <w:r>
        <w:rPr>
          <w:b/>
          <w:bCs/>
          <w:color w:val="000000"/>
        </w:rPr>
        <w:t>Table 8: Responder Analysis – Achieving MCID at 4 Weeks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1755"/>
        <w:gridCol w:w="1755"/>
        <w:gridCol w:w="1755"/>
        <w:gridCol w:w="1755"/>
      </w:tblGrid>
      <w:tr w:rsidR="00EC05A7" w14:paraId="3275641B" w14:textId="77777777">
        <w:tblPrEx>
          <w:tblCellMar>
            <w:top w:w="0" w:type="dxa"/>
            <w:bottom w:w="0" w:type="dxa"/>
          </w:tblCellMar>
        </w:tblPrEx>
        <w:tc>
          <w:tcPr>
            <w:tcW w:w="2340" w:type="dxa"/>
            <w:tcBorders>
              <w:top w:val="single" w:sz="4" w:space="0" w:color="AAAAAA"/>
              <w:left w:val="single" w:sz="4" w:space="0" w:color="AAAAAA"/>
              <w:bottom w:val="single" w:sz="4" w:space="0" w:color="AAAAAA"/>
              <w:right w:val="single" w:sz="4" w:space="0" w:color="AAAAAA"/>
            </w:tcBorders>
            <w:shd w:val="clear" w:color="auto" w:fill="1F497D"/>
            <w:tcMar>
              <w:top w:w="60" w:type="dxa"/>
              <w:left w:w="100" w:type="dxa"/>
              <w:bottom w:w="60" w:type="dxa"/>
              <w:right w:w="100" w:type="dxa"/>
            </w:tcMar>
            <w:vAlign w:val="center"/>
          </w:tcPr>
          <w:p w14:paraId="02613DF7" w14:textId="77777777" w:rsidR="00EC05A7" w:rsidRDefault="005A700D">
            <w:pPr>
              <w:jc w:val="center"/>
            </w:pPr>
            <w:r>
              <w:rPr>
                <w:rFonts w:ascii="Arial" w:eastAsia="Arial" w:hAnsi="Arial" w:cs="Arial"/>
                <w:b/>
                <w:bCs/>
                <w:color w:val="FFFFFF"/>
                <w:sz w:val="18"/>
                <w:szCs w:val="18"/>
              </w:rPr>
              <w:t>Outcome</w:t>
            </w:r>
          </w:p>
        </w:tc>
        <w:tc>
          <w:tcPr>
            <w:tcW w:w="1755" w:type="dxa"/>
            <w:tcBorders>
              <w:top w:val="single" w:sz="4" w:space="0" w:color="AAAAAA"/>
              <w:left w:val="single" w:sz="4" w:space="0" w:color="AAAAAA"/>
              <w:bottom w:val="single" w:sz="4" w:space="0" w:color="AAAAAA"/>
              <w:right w:val="single" w:sz="4" w:space="0" w:color="AAAAAA"/>
            </w:tcBorders>
            <w:shd w:val="clear" w:color="auto" w:fill="1F497D"/>
            <w:tcMar>
              <w:top w:w="60" w:type="dxa"/>
              <w:left w:w="100" w:type="dxa"/>
              <w:bottom w:w="60" w:type="dxa"/>
              <w:right w:w="100" w:type="dxa"/>
            </w:tcMar>
            <w:vAlign w:val="center"/>
          </w:tcPr>
          <w:p w14:paraId="6792DC15" w14:textId="77777777" w:rsidR="00EC05A7" w:rsidRDefault="005A700D">
            <w:pPr>
              <w:jc w:val="center"/>
            </w:pPr>
            <w:r>
              <w:rPr>
                <w:rFonts w:ascii="Arial" w:eastAsia="Arial" w:hAnsi="Arial" w:cs="Arial"/>
                <w:b/>
                <w:bCs/>
                <w:color w:val="FFFFFF"/>
                <w:sz w:val="18"/>
                <w:szCs w:val="18"/>
              </w:rPr>
              <w:t>MCID</w:t>
            </w:r>
          </w:p>
        </w:tc>
        <w:tc>
          <w:tcPr>
            <w:tcW w:w="1755" w:type="dxa"/>
            <w:tcBorders>
              <w:top w:val="single" w:sz="4" w:space="0" w:color="AAAAAA"/>
              <w:left w:val="single" w:sz="4" w:space="0" w:color="AAAAAA"/>
              <w:bottom w:val="single" w:sz="4" w:space="0" w:color="AAAAAA"/>
              <w:right w:val="single" w:sz="4" w:space="0" w:color="AAAAAA"/>
            </w:tcBorders>
            <w:shd w:val="clear" w:color="auto" w:fill="1F497D"/>
            <w:tcMar>
              <w:top w:w="60" w:type="dxa"/>
              <w:left w:w="100" w:type="dxa"/>
              <w:bottom w:w="60" w:type="dxa"/>
              <w:right w:w="100" w:type="dxa"/>
            </w:tcMar>
            <w:vAlign w:val="center"/>
          </w:tcPr>
          <w:p w14:paraId="08120A0B" w14:textId="77777777" w:rsidR="00EC05A7" w:rsidRDefault="005A700D">
            <w:pPr>
              <w:jc w:val="center"/>
            </w:pPr>
            <w:r>
              <w:rPr>
                <w:rFonts w:ascii="Arial" w:eastAsia="Arial" w:hAnsi="Arial" w:cs="Arial"/>
                <w:b/>
                <w:bCs/>
                <w:color w:val="FFFFFF"/>
                <w:sz w:val="18"/>
                <w:szCs w:val="18"/>
              </w:rPr>
              <w:t>Gr-A (n %)</w:t>
            </w:r>
          </w:p>
        </w:tc>
        <w:tc>
          <w:tcPr>
            <w:tcW w:w="1755" w:type="dxa"/>
            <w:tcBorders>
              <w:top w:val="single" w:sz="4" w:space="0" w:color="AAAAAA"/>
              <w:left w:val="single" w:sz="4" w:space="0" w:color="AAAAAA"/>
              <w:bottom w:val="single" w:sz="4" w:space="0" w:color="AAAAAA"/>
              <w:right w:val="single" w:sz="4" w:space="0" w:color="AAAAAA"/>
            </w:tcBorders>
            <w:shd w:val="clear" w:color="auto" w:fill="1F497D"/>
            <w:tcMar>
              <w:top w:w="60" w:type="dxa"/>
              <w:left w:w="100" w:type="dxa"/>
              <w:bottom w:w="60" w:type="dxa"/>
              <w:right w:w="100" w:type="dxa"/>
            </w:tcMar>
            <w:vAlign w:val="center"/>
          </w:tcPr>
          <w:p w14:paraId="37180E81" w14:textId="77777777" w:rsidR="00EC05A7" w:rsidRDefault="005A700D">
            <w:pPr>
              <w:jc w:val="center"/>
            </w:pPr>
            <w:r>
              <w:rPr>
                <w:rFonts w:ascii="Arial" w:eastAsia="Arial" w:hAnsi="Arial" w:cs="Arial"/>
                <w:b/>
                <w:bCs/>
                <w:color w:val="FFFFFF"/>
                <w:sz w:val="18"/>
                <w:szCs w:val="18"/>
              </w:rPr>
              <w:t>Gr-B (n %)</w:t>
            </w:r>
          </w:p>
        </w:tc>
        <w:tc>
          <w:tcPr>
            <w:tcW w:w="1755" w:type="dxa"/>
            <w:tcBorders>
              <w:top w:val="single" w:sz="4" w:space="0" w:color="AAAAAA"/>
              <w:left w:val="single" w:sz="4" w:space="0" w:color="AAAAAA"/>
              <w:bottom w:val="single" w:sz="4" w:space="0" w:color="AAAAAA"/>
              <w:right w:val="single" w:sz="4" w:space="0" w:color="AAAAAA"/>
            </w:tcBorders>
            <w:shd w:val="clear" w:color="auto" w:fill="1F497D"/>
            <w:tcMar>
              <w:top w:w="60" w:type="dxa"/>
              <w:left w:w="100" w:type="dxa"/>
              <w:bottom w:w="60" w:type="dxa"/>
              <w:right w:w="100" w:type="dxa"/>
            </w:tcMar>
            <w:vAlign w:val="center"/>
          </w:tcPr>
          <w:p w14:paraId="30F141C8" w14:textId="77777777" w:rsidR="00EC05A7" w:rsidRDefault="005A700D">
            <w:pPr>
              <w:jc w:val="center"/>
            </w:pPr>
            <w:r>
              <w:rPr>
                <w:rFonts w:ascii="Arial" w:eastAsia="Arial" w:hAnsi="Arial" w:cs="Arial"/>
                <w:b/>
                <w:bCs/>
                <w:color w:val="FFFFFF"/>
                <w:sz w:val="18"/>
                <w:szCs w:val="18"/>
              </w:rPr>
              <w:t>p-value</w:t>
            </w:r>
          </w:p>
        </w:tc>
      </w:tr>
      <w:tr w:rsidR="00EC05A7" w14:paraId="108DE40B" w14:textId="77777777">
        <w:tblPrEx>
          <w:tblCellMar>
            <w:top w:w="0" w:type="dxa"/>
            <w:bottom w:w="0" w:type="dxa"/>
          </w:tblCellMar>
        </w:tblPrEx>
        <w:tc>
          <w:tcPr>
            <w:tcW w:w="234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5C8E4077" w14:textId="77777777" w:rsidR="00EC05A7" w:rsidRDefault="005A700D">
            <w:r>
              <w:rPr>
                <w:color w:val="000000"/>
                <w:sz w:val="18"/>
                <w:szCs w:val="18"/>
              </w:rPr>
              <w:t>NPRS</w:t>
            </w:r>
          </w:p>
        </w:tc>
        <w:tc>
          <w:tcPr>
            <w:tcW w:w="1755"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584BFB35" w14:textId="77777777" w:rsidR="00EC05A7" w:rsidRDefault="005A700D">
            <w:pPr>
              <w:jc w:val="center"/>
            </w:pPr>
            <w:r>
              <w:rPr>
                <w:color w:val="000000"/>
                <w:sz w:val="18"/>
                <w:szCs w:val="18"/>
              </w:rPr>
              <w:t>≥2 point ↓</w:t>
            </w:r>
          </w:p>
        </w:tc>
        <w:tc>
          <w:tcPr>
            <w:tcW w:w="1755"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75F10242" w14:textId="77777777" w:rsidR="00EC05A7" w:rsidRDefault="005A700D">
            <w:pPr>
              <w:jc w:val="center"/>
            </w:pPr>
            <w:r>
              <w:rPr>
                <w:color w:val="000000"/>
                <w:sz w:val="18"/>
                <w:szCs w:val="18"/>
              </w:rPr>
              <w:t>28(93%)</w:t>
            </w:r>
          </w:p>
        </w:tc>
        <w:tc>
          <w:tcPr>
            <w:tcW w:w="1755"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39F08E4B" w14:textId="77777777" w:rsidR="00EC05A7" w:rsidRDefault="005A700D">
            <w:pPr>
              <w:jc w:val="center"/>
            </w:pPr>
            <w:r>
              <w:rPr>
                <w:color w:val="000000"/>
                <w:sz w:val="18"/>
                <w:szCs w:val="18"/>
              </w:rPr>
              <w:t>22(73%)</w:t>
            </w:r>
          </w:p>
        </w:tc>
        <w:tc>
          <w:tcPr>
            <w:tcW w:w="1755"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5C8FB7E0" w14:textId="77777777" w:rsidR="00EC05A7" w:rsidRDefault="005A700D">
            <w:pPr>
              <w:jc w:val="center"/>
            </w:pPr>
            <w:r>
              <w:rPr>
                <w:color w:val="000000"/>
                <w:sz w:val="18"/>
                <w:szCs w:val="18"/>
              </w:rPr>
              <w:t>0.037*</w:t>
            </w:r>
          </w:p>
        </w:tc>
      </w:tr>
      <w:tr w:rsidR="00EC05A7" w14:paraId="003DB8E7" w14:textId="77777777">
        <w:tblPrEx>
          <w:tblCellMar>
            <w:top w:w="0" w:type="dxa"/>
            <w:bottom w:w="0" w:type="dxa"/>
          </w:tblCellMar>
        </w:tblPrEx>
        <w:tc>
          <w:tcPr>
            <w:tcW w:w="2340"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2E724167" w14:textId="77777777" w:rsidR="00EC05A7" w:rsidRDefault="005A700D">
            <w:r>
              <w:rPr>
                <w:color w:val="000000"/>
                <w:sz w:val="18"/>
                <w:szCs w:val="18"/>
              </w:rPr>
              <w:t>ASLR</w:t>
            </w:r>
          </w:p>
        </w:tc>
        <w:tc>
          <w:tcPr>
            <w:tcW w:w="1755"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7043EA3A" w14:textId="77777777" w:rsidR="00EC05A7" w:rsidRDefault="005A700D">
            <w:pPr>
              <w:jc w:val="center"/>
            </w:pPr>
            <w:r>
              <w:rPr>
                <w:color w:val="000000"/>
                <w:sz w:val="18"/>
                <w:szCs w:val="18"/>
              </w:rPr>
              <w:t>≥1 point ↑</w:t>
            </w:r>
          </w:p>
        </w:tc>
        <w:tc>
          <w:tcPr>
            <w:tcW w:w="1755"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787D9CCB" w14:textId="77777777" w:rsidR="00EC05A7" w:rsidRDefault="005A700D">
            <w:pPr>
              <w:jc w:val="center"/>
            </w:pPr>
            <w:r>
              <w:rPr>
                <w:color w:val="000000"/>
                <w:sz w:val="18"/>
                <w:szCs w:val="18"/>
              </w:rPr>
              <w:t>27(90%)</w:t>
            </w:r>
          </w:p>
        </w:tc>
        <w:tc>
          <w:tcPr>
            <w:tcW w:w="1755"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05F4FCFA" w14:textId="77777777" w:rsidR="00EC05A7" w:rsidRDefault="005A700D">
            <w:pPr>
              <w:jc w:val="center"/>
            </w:pPr>
            <w:r>
              <w:rPr>
                <w:color w:val="000000"/>
                <w:sz w:val="18"/>
                <w:szCs w:val="18"/>
              </w:rPr>
              <w:t>24(80%)</w:t>
            </w:r>
          </w:p>
        </w:tc>
        <w:tc>
          <w:tcPr>
            <w:tcW w:w="1755" w:type="dxa"/>
            <w:tcBorders>
              <w:top w:val="single" w:sz="4" w:space="0" w:color="AAAAAA"/>
              <w:left w:val="single" w:sz="4" w:space="0" w:color="AAAAAA"/>
              <w:bottom w:val="single" w:sz="4" w:space="0" w:color="AAAAAA"/>
              <w:right w:val="single" w:sz="4" w:space="0" w:color="AAAAAA"/>
            </w:tcBorders>
            <w:shd w:val="clear" w:color="auto" w:fill="FFFFFF"/>
            <w:tcMar>
              <w:top w:w="50" w:type="dxa"/>
              <w:left w:w="100" w:type="dxa"/>
              <w:bottom w:w="50" w:type="dxa"/>
              <w:right w:w="100" w:type="dxa"/>
            </w:tcMar>
            <w:vAlign w:val="center"/>
          </w:tcPr>
          <w:p w14:paraId="2299C595" w14:textId="77777777" w:rsidR="00EC05A7" w:rsidRDefault="005A700D">
            <w:pPr>
              <w:jc w:val="center"/>
            </w:pPr>
            <w:r>
              <w:rPr>
                <w:color w:val="000000"/>
                <w:sz w:val="18"/>
                <w:szCs w:val="18"/>
              </w:rPr>
              <w:t>0.251</w:t>
            </w:r>
          </w:p>
        </w:tc>
      </w:tr>
      <w:tr w:rsidR="00EC05A7" w14:paraId="3B8788E3" w14:textId="77777777">
        <w:tblPrEx>
          <w:tblCellMar>
            <w:top w:w="0" w:type="dxa"/>
            <w:bottom w:w="0" w:type="dxa"/>
          </w:tblCellMar>
        </w:tblPrEx>
        <w:tc>
          <w:tcPr>
            <w:tcW w:w="2340"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5AEB2C3D" w14:textId="77777777" w:rsidR="00EC05A7" w:rsidRDefault="005A700D">
            <w:r>
              <w:rPr>
                <w:color w:val="000000"/>
                <w:sz w:val="18"/>
                <w:szCs w:val="18"/>
              </w:rPr>
              <w:t>ODI</w:t>
            </w:r>
          </w:p>
        </w:tc>
        <w:tc>
          <w:tcPr>
            <w:tcW w:w="1755"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0B0D1474" w14:textId="77777777" w:rsidR="00EC05A7" w:rsidRDefault="005A700D">
            <w:pPr>
              <w:jc w:val="center"/>
            </w:pPr>
            <w:r>
              <w:rPr>
                <w:color w:val="000000"/>
                <w:sz w:val="18"/>
                <w:szCs w:val="18"/>
              </w:rPr>
              <w:t>≥10% ↓</w:t>
            </w:r>
          </w:p>
        </w:tc>
        <w:tc>
          <w:tcPr>
            <w:tcW w:w="1755"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0FD66469" w14:textId="77777777" w:rsidR="00EC05A7" w:rsidRDefault="005A700D">
            <w:pPr>
              <w:jc w:val="center"/>
            </w:pPr>
            <w:r>
              <w:rPr>
                <w:color w:val="000000"/>
                <w:sz w:val="18"/>
                <w:szCs w:val="18"/>
              </w:rPr>
              <w:t>30(100%)</w:t>
            </w:r>
          </w:p>
        </w:tc>
        <w:tc>
          <w:tcPr>
            <w:tcW w:w="1755"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2ED6C173" w14:textId="77777777" w:rsidR="00EC05A7" w:rsidRDefault="005A700D">
            <w:pPr>
              <w:jc w:val="center"/>
            </w:pPr>
            <w:r>
              <w:rPr>
                <w:color w:val="000000"/>
                <w:sz w:val="18"/>
                <w:szCs w:val="18"/>
              </w:rPr>
              <w:t>29(97%)</w:t>
            </w:r>
          </w:p>
        </w:tc>
        <w:tc>
          <w:tcPr>
            <w:tcW w:w="1755" w:type="dxa"/>
            <w:tcBorders>
              <w:top w:val="single" w:sz="4" w:space="0" w:color="AAAAAA"/>
              <w:left w:val="single" w:sz="4" w:space="0" w:color="AAAAAA"/>
              <w:bottom w:val="single" w:sz="4" w:space="0" w:color="AAAAAA"/>
              <w:right w:val="single" w:sz="4" w:space="0" w:color="AAAAAA"/>
            </w:tcBorders>
            <w:shd w:val="clear" w:color="auto" w:fill="F2F2F2"/>
            <w:tcMar>
              <w:top w:w="50" w:type="dxa"/>
              <w:left w:w="100" w:type="dxa"/>
              <w:bottom w:w="50" w:type="dxa"/>
              <w:right w:w="100" w:type="dxa"/>
            </w:tcMar>
            <w:vAlign w:val="center"/>
          </w:tcPr>
          <w:p w14:paraId="7FC8202E" w14:textId="77777777" w:rsidR="00EC05A7" w:rsidRDefault="005A700D">
            <w:pPr>
              <w:jc w:val="center"/>
            </w:pPr>
            <w:r>
              <w:rPr>
                <w:color w:val="000000"/>
                <w:sz w:val="18"/>
                <w:szCs w:val="18"/>
              </w:rPr>
              <w:t>0.315</w:t>
            </w:r>
          </w:p>
        </w:tc>
      </w:tr>
    </w:tbl>
    <w:p w14:paraId="599B2FD3" w14:textId="77777777" w:rsidR="00EC05A7" w:rsidRDefault="005A700D">
      <w:pPr>
        <w:spacing w:before="60" w:after="80" w:line="276" w:lineRule="auto"/>
        <w:jc w:val="both"/>
      </w:pPr>
      <w:r>
        <w:rPr>
          <w:i/>
          <w:iCs/>
          <w:color w:val="000000"/>
        </w:rPr>
        <w:t>MCID = Minimal Clinically Important Difference; * p &lt; 0.05; ↓ = decrease; ↑ = increase. Responder analysis shows proportion achieving clinically meaningful improvements.</w:t>
      </w:r>
    </w:p>
    <w:p w14:paraId="318696CF" w14:textId="77777777" w:rsidR="00EC05A7" w:rsidRDefault="005A700D">
      <w:pPr>
        <w:pBdr>
          <w:bottom w:val="single" w:sz="6" w:space="4" w:color="1F497D"/>
        </w:pBdr>
        <w:spacing w:before="200" w:after="100"/>
      </w:pPr>
      <w:r>
        <w:rPr>
          <w:rFonts w:ascii="Arial" w:eastAsia="Arial" w:hAnsi="Arial" w:cs="Arial"/>
          <w:b/>
          <w:bCs/>
          <w:caps/>
          <w:color w:val="1F497D"/>
          <w:sz w:val="22"/>
          <w:szCs w:val="22"/>
        </w:rPr>
        <w:t>IV. DISCUSSION</w:t>
      </w:r>
    </w:p>
    <w:p w14:paraId="13543EEC" w14:textId="77777777" w:rsidR="00EC05A7" w:rsidRDefault="005A700D">
      <w:pPr>
        <w:spacing w:before="100" w:after="80" w:line="276" w:lineRule="auto"/>
        <w:ind w:firstLine="720"/>
        <w:jc w:val="both"/>
      </w:pPr>
      <w:r>
        <w:rPr>
          <w:color w:val="000000"/>
        </w:rPr>
        <w:t xml:space="preserve">The present randomized controlled trial compared the effects of two multimodal physiotherapy interventions — MET combined with NMCT and MWM combined with CS — in patients with SIJD. Both treatment protocols yielded significant </w:t>
      </w:r>
      <w:r>
        <w:rPr>
          <w:color w:val="000000"/>
        </w:rPr>
        <w:lastRenderedPageBreak/>
        <w:t xml:space="preserve">improvements in pain, </w:t>
      </w:r>
      <w:proofErr w:type="spellStart"/>
      <w:r>
        <w:rPr>
          <w:color w:val="000000"/>
        </w:rPr>
        <w:t>lumbopelvic</w:t>
      </w:r>
      <w:proofErr w:type="spellEnd"/>
      <w:r>
        <w:rPr>
          <w:color w:val="000000"/>
        </w:rPr>
        <w:t xml:space="preserve"> stability, and functional disability over the 4-week intervention period. However, Group A (MET + NMCT) demonstrated statistically and clinically superior outcomes across all three domains, suggesting that this combination may represent a more potent therapeutic approach for SIJD.</w:t>
      </w:r>
    </w:p>
    <w:p w14:paraId="21FE8E4C" w14:textId="77777777" w:rsidR="00EC05A7" w:rsidRDefault="005A700D">
      <w:pPr>
        <w:spacing w:before="80" w:after="80" w:line="276" w:lineRule="auto"/>
        <w:ind w:firstLine="720"/>
        <w:jc w:val="both"/>
      </w:pPr>
      <w:r>
        <w:rPr>
          <w:color w:val="000000"/>
        </w:rPr>
        <w:t xml:space="preserve">The superior pain relief observed in Group A is consistent with the proposed neurophysiological mechanisms of MET. Isometric muscle contraction during MET is thought to activate Golgi tendon organs (GTOs), inducing autogenic inhibition and reducing muscle </w:t>
      </w:r>
      <w:proofErr w:type="spellStart"/>
      <w:r>
        <w:rPr>
          <w:color w:val="000000"/>
        </w:rPr>
        <w:t>hypertonicity</w:t>
      </w:r>
      <w:proofErr w:type="spellEnd"/>
      <w:r>
        <w:rPr>
          <w:color w:val="000000"/>
        </w:rPr>
        <w:t xml:space="preserve"> around the SIJ [7]. Furthermore, MET may stimulate mechanoreceptors and nociceptors at the joint capsule and ligamentous structures, modulating pain through descending inhibitory pathways. These effects may be augmented by the NMCT component, which enhances proprioceptive awareness and corrects aberrant movement patterns that perpetuate SIJ mechanical stress [9].</w:t>
      </w:r>
    </w:p>
    <w:p w14:paraId="3DA5B3AE" w14:textId="77777777" w:rsidR="00EC05A7" w:rsidRDefault="005A700D">
      <w:pPr>
        <w:spacing w:before="80" w:after="80" w:line="276" w:lineRule="auto"/>
        <w:ind w:firstLine="720"/>
        <w:jc w:val="both"/>
      </w:pPr>
      <w:r>
        <w:rPr>
          <w:color w:val="000000"/>
        </w:rPr>
        <w:t xml:space="preserve">The improvements in </w:t>
      </w:r>
      <w:proofErr w:type="spellStart"/>
      <w:r>
        <w:rPr>
          <w:color w:val="000000"/>
        </w:rPr>
        <w:t>lumbopelvic</w:t>
      </w:r>
      <w:proofErr w:type="spellEnd"/>
      <w:r>
        <w:rPr>
          <w:color w:val="000000"/>
        </w:rPr>
        <w:t xml:space="preserve"> stability, as measured by the ASLR, were significantly greater in Group A. The ASLR is a clinically validated test that reflects the ability of the </w:t>
      </w:r>
      <w:proofErr w:type="spellStart"/>
      <w:r>
        <w:rPr>
          <w:color w:val="000000"/>
        </w:rPr>
        <w:t>lumbopelvic</w:t>
      </w:r>
      <w:proofErr w:type="spellEnd"/>
      <w:r>
        <w:rPr>
          <w:color w:val="000000"/>
        </w:rPr>
        <w:t xml:space="preserve"> complex to effectively transfer loads across the pelvis [13]. The combined application of MET — which addresses muscular restrictions and joint </w:t>
      </w:r>
      <w:proofErr w:type="spellStart"/>
      <w:r>
        <w:rPr>
          <w:color w:val="000000"/>
        </w:rPr>
        <w:t>malalignment</w:t>
      </w:r>
      <w:proofErr w:type="spellEnd"/>
      <w:r>
        <w:rPr>
          <w:color w:val="000000"/>
        </w:rPr>
        <w:t xml:space="preserve"> — with NMCT — which targets neuromuscular recruitment — likely provides a synergistic effect on force closure mechanisms at the SIJ. Specifically, restoration of optimal </w:t>
      </w:r>
      <w:proofErr w:type="spellStart"/>
      <w:r>
        <w:rPr>
          <w:color w:val="000000"/>
        </w:rPr>
        <w:t>transversus</w:t>
      </w:r>
      <w:proofErr w:type="spellEnd"/>
      <w:r>
        <w:rPr>
          <w:color w:val="000000"/>
        </w:rPr>
        <w:t xml:space="preserve"> a</w:t>
      </w:r>
      <w:r>
        <w:rPr>
          <w:color w:val="000000"/>
        </w:rPr>
        <w:t xml:space="preserve">bdominis and </w:t>
      </w:r>
      <w:proofErr w:type="spellStart"/>
      <w:r>
        <w:rPr>
          <w:color w:val="000000"/>
        </w:rPr>
        <w:t>multifidus</w:t>
      </w:r>
      <w:proofErr w:type="spellEnd"/>
      <w:r>
        <w:rPr>
          <w:color w:val="000000"/>
        </w:rPr>
        <w:t xml:space="preserve"> activation through NMCT is known to enhance sacroiliac joint compression and stability [14].</w:t>
      </w:r>
    </w:p>
    <w:p w14:paraId="18EAEB49" w14:textId="77777777" w:rsidR="00EC05A7" w:rsidRDefault="005A700D">
      <w:pPr>
        <w:spacing w:before="80" w:after="80" w:line="276" w:lineRule="auto"/>
        <w:ind w:firstLine="720"/>
        <w:jc w:val="both"/>
      </w:pPr>
      <w:r>
        <w:rPr>
          <w:color w:val="000000"/>
        </w:rPr>
        <w:t xml:space="preserve">Both groups demonstrated clinically meaningful reductions in ODI scores, indicating functional improvements. Group A's superior ODI reduction may be attributed to the comprehensive neuromuscular re-education achieved through the MET + NMCT protocol, enabling patients to perform activities of daily living with reduced pain and improved motor control. These findings are consistent with Lee and Lee [15], who reported significant ODI improvements following MET-based protocols in pelvic girdle pain, and with </w:t>
      </w:r>
      <w:proofErr w:type="spellStart"/>
      <w:r>
        <w:rPr>
          <w:color w:val="000000"/>
        </w:rPr>
        <w:t>Slipman</w:t>
      </w:r>
      <w:proofErr w:type="spellEnd"/>
      <w:r>
        <w:rPr>
          <w:color w:val="000000"/>
        </w:rPr>
        <w:t xml:space="preserve"> et al. [16], who emphasized the importance of motor retraining in functional restoration for SIJ-related disability.</w:t>
      </w:r>
    </w:p>
    <w:p w14:paraId="07511788" w14:textId="77777777" w:rsidR="00EC05A7" w:rsidRDefault="005A700D">
      <w:pPr>
        <w:spacing w:before="80" w:after="80" w:line="276" w:lineRule="auto"/>
        <w:ind w:firstLine="720"/>
        <w:jc w:val="both"/>
      </w:pPr>
      <w:r>
        <w:rPr>
          <w:color w:val="000000"/>
        </w:rPr>
        <w:t xml:space="preserve">The efficacy of MWM + CS observed in Group B also warrants discussion. Mulligan's MWM is postulated to correct articular positional faults by altering the afferent input from joint mechanoreceptors, thereby normalizing motor output and reducing pain [10]. The addition of CS targets the force closure of the SIJ through progressive recruitment of the global and local stabilizing musculature [12]. While this combination produced significant improvements, the smaller effect sizes suggest that the MWM technique </w:t>
      </w:r>
      <w:r>
        <w:rPr>
          <w:color w:val="000000"/>
        </w:rPr>
        <w:t>alone may not fully address the neuromuscular deficits characteristic of SIJD, which may explain its relative inferiority to the MET + NMCT protocol.</w:t>
      </w:r>
    </w:p>
    <w:p w14:paraId="4D005EDF" w14:textId="77777777" w:rsidR="00EC05A7" w:rsidRDefault="005A700D">
      <w:pPr>
        <w:spacing w:before="80" w:after="80" w:line="276" w:lineRule="auto"/>
        <w:ind w:firstLine="720"/>
        <w:jc w:val="both"/>
      </w:pPr>
      <w:r>
        <w:rPr>
          <w:color w:val="000000"/>
        </w:rPr>
        <w:t>Several methodological strengths enhance the validity of the present findings, including the RCT design, standardized treatment protocols, assessor blinding, and the use of validated outcome measures. Limitations include the short follow-up duration (4 weeks), single-center design, inability to blind treating therapists, and the absence of long-term maintenance assessment. Future studies should incorporate 3- and 6-month follow-ups, include imaging-based assessments of SIJ kinematics, and evaluate cost-effe</w:t>
      </w:r>
      <w:r>
        <w:rPr>
          <w:color w:val="000000"/>
        </w:rPr>
        <w:t>ctiveness of both protocols.</w:t>
      </w:r>
    </w:p>
    <w:p w14:paraId="22448022" w14:textId="77777777" w:rsidR="00EC05A7" w:rsidRDefault="005A700D">
      <w:pPr>
        <w:pBdr>
          <w:bottom w:val="single" w:sz="6" w:space="4" w:color="1F497D"/>
        </w:pBdr>
        <w:spacing w:before="200" w:after="100"/>
      </w:pPr>
      <w:r>
        <w:rPr>
          <w:rFonts w:ascii="Arial" w:eastAsia="Arial" w:hAnsi="Arial" w:cs="Arial"/>
          <w:b/>
          <w:bCs/>
          <w:caps/>
          <w:color w:val="1F497D"/>
          <w:sz w:val="22"/>
          <w:szCs w:val="22"/>
        </w:rPr>
        <w:t>V. CONCLUSION</w:t>
      </w:r>
    </w:p>
    <w:p w14:paraId="38F45A24" w14:textId="77777777" w:rsidR="00EC05A7" w:rsidRDefault="005A700D">
      <w:pPr>
        <w:spacing w:before="100" w:after="80" w:line="276" w:lineRule="auto"/>
        <w:ind w:firstLine="720"/>
        <w:jc w:val="both"/>
      </w:pPr>
      <w:r>
        <w:rPr>
          <w:color w:val="000000"/>
        </w:rPr>
        <w:t xml:space="preserve">Both Muscle Energy Technique combined with Neuromuscular Control Training and Mulligan's Mobilization with Movement combined with Core Stabilization are effective multimodal physiotherapy interventions for the management of sacroiliac joint dysfunction. The MET + NMCT combination demonstrated statistically significant superiority in reducing pain intensity, improving </w:t>
      </w:r>
      <w:proofErr w:type="spellStart"/>
      <w:r>
        <w:rPr>
          <w:color w:val="000000"/>
        </w:rPr>
        <w:t>lumbopelvic</w:t>
      </w:r>
      <w:proofErr w:type="spellEnd"/>
      <w:r>
        <w:rPr>
          <w:color w:val="000000"/>
        </w:rPr>
        <w:t xml:space="preserve"> stability, and decreasing functional disability compared to MWM + CS over a 4-week treatment period. These findings support the preferential use of MET combined with NMCT in the conservative management of SIJD and highlight the importance of integrating neuromuscular retraining with manual therapy. Clinicians managing patients with SIJD should consider this evidence-based combination as a primary therapeutic approach.</w:t>
      </w:r>
    </w:p>
    <w:p w14:paraId="1132DCFD" w14:textId="77777777" w:rsidR="00EC05A7" w:rsidRDefault="005A700D">
      <w:pPr>
        <w:pBdr>
          <w:bottom w:val="single" w:sz="6" w:space="4" w:color="1F497D"/>
        </w:pBdr>
        <w:spacing w:before="200" w:after="100"/>
      </w:pPr>
      <w:r>
        <w:rPr>
          <w:rFonts w:ascii="Arial" w:eastAsia="Arial" w:hAnsi="Arial" w:cs="Arial"/>
          <w:b/>
          <w:bCs/>
          <w:caps/>
          <w:color w:val="1F497D"/>
          <w:sz w:val="22"/>
          <w:szCs w:val="22"/>
        </w:rPr>
        <w:t>ACKNOWLEDGMENTS</w:t>
      </w:r>
    </w:p>
    <w:p w14:paraId="67549B71" w14:textId="7033FD8E" w:rsidR="00EC05A7" w:rsidRDefault="005A700D">
      <w:pPr>
        <w:spacing w:before="80" w:after="80" w:line="276" w:lineRule="auto"/>
        <w:jc w:val="both"/>
      </w:pPr>
      <w:r>
        <w:rPr>
          <w:color w:val="000000"/>
        </w:rPr>
        <w:t xml:space="preserve">The authors express their sincere gratitude to all participants who volunteered for this study, the physiotherapy department staff </w:t>
      </w:r>
      <w:r>
        <w:rPr>
          <w:color w:val="000000"/>
        </w:rPr>
        <w:t>, and the biostatistics unit for statistical support. No external funding was received for this study.</w:t>
      </w:r>
    </w:p>
    <w:p w14:paraId="33DC2D78" w14:textId="77777777" w:rsidR="00EC05A7" w:rsidRDefault="005A700D">
      <w:pPr>
        <w:pBdr>
          <w:bottom w:val="single" w:sz="6" w:space="4" w:color="1F497D"/>
        </w:pBdr>
        <w:spacing w:before="200" w:after="100"/>
      </w:pPr>
      <w:r>
        <w:rPr>
          <w:rFonts w:ascii="Arial" w:eastAsia="Arial" w:hAnsi="Arial" w:cs="Arial"/>
          <w:b/>
          <w:bCs/>
          <w:caps/>
          <w:color w:val="1F497D"/>
          <w:sz w:val="22"/>
          <w:szCs w:val="22"/>
        </w:rPr>
        <w:t>CONFLICTS OF INTEREST</w:t>
      </w:r>
    </w:p>
    <w:p w14:paraId="20C93242" w14:textId="77777777" w:rsidR="00EC05A7" w:rsidRDefault="005A700D">
      <w:pPr>
        <w:spacing w:before="80" w:after="80" w:line="276" w:lineRule="auto"/>
        <w:jc w:val="both"/>
      </w:pPr>
      <w:r>
        <w:rPr>
          <w:color w:val="000000"/>
        </w:rPr>
        <w:t>The authors declare no conflicts of interest relevant to this study.</w:t>
      </w:r>
    </w:p>
    <w:p w14:paraId="6199C366" w14:textId="77777777" w:rsidR="00EC05A7" w:rsidRDefault="005A700D">
      <w:pPr>
        <w:pBdr>
          <w:bottom w:val="single" w:sz="6" w:space="4" w:color="1F497D"/>
        </w:pBdr>
        <w:spacing w:before="200" w:after="100"/>
      </w:pPr>
      <w:r>
        <w:rPr>
          <w:rFonts w:ascii="Arial" w:eastAsia="Arial" w:hAnsi="Arial" w:cs="Arial"/>
          <w:b/>
          <w:bCs/>
          <w:caps/>
          <w:color w:val="1F497D"/>
          <w:sz w:val="22"/>
          <w:szCs w:val="22"/>
        </w:rPr>
        <w:t>ETHICAL APPROVAL</w:t>
      </w:r>
    </w:p>
    <w:p w14:paraId="62EA0D73" w14:textId="33D90323" w:rsidR="00EC05A7" w:rsidRDefault="005A700D">
      <w:pPr>
        <w:spacing w:before="80" w:after="80" w:line="276" w:lineRule="auto"/>
        <w:jc w:val="both"/>
      </w:pPr>
      <w:r>
        <w:rPr>
          <w:color w:val="000000"/>
        </w:rPr>
        <w:lastRenderedPageBreak/>
        <w:t>Ethical approval was obtained from the Institutional Ethics</w:t>
      </w:r>
      <w:r>
        <w:rPr>
          <w:color w:val="000000"/>
        </w:rPr>
        <w:t>. All participants provided written informed consent prior to enrollment. The study was conducted in accordance with the Declaration of Helsinki (2013 revision).</w:t>
      </w:r>
    </w:p>
    <w:p w14:paraId="4812D61C" w14:textId="77777777" w:rsidR="00EC05A7" w:rsidRDefault="005A700D">
      <w:pPr>
        <w:pBdr>
          <w:bottom w:val="single" w:sz="6" w:space="4" w:color="1F497D"/>
        </w:pBdr>
        <w:spacing w:before="200" w:after="100"/>
      </w:pPr>
      <w:r>
        <w:rPr>
          <w:rFonts w:ascii="Arial" w:eastAsia="Arial" w:hAnsi="Arial" w:cs="Arial"/>
          <w:b/>
          <w:bCs/>
          <w:caps/>
          <w:color w:val="1F497D"/>
          <w:sz w:val="22"/>
          <w:szCs w:val="22"/>
        </w:rPr>
        <w:t>REFERENCES</w:t>
      </w:r>
    </w:p>
    <w:p w14:paraId="15ACC824" w14:textId="77777777" w:rsidR="00EC05A7" w:rsidRDefault="005A700D">
      <w:pPr>
        <w:spacing w:before="40" w:after="40" w:line="276" w:lineRule="auto"/>
        <w:jc w:val="both"/>
      </w:pPr>
      <w:r>
        <w:rPr>
          <w:color w:val="000000"/>
        </w:rPr>
        <w:t xml:space="preserve">[1] </w:t>
      </w:r>
      <w:proofErr w:type="spellStart"/>
      <w:r>
        <w:rPr>
          <w:color w:val="000000"/>
        </w:rPr>
        <w:t>Sembrano</w:t>
      </w:r>
      <w:proofErr w:type="spellEnd"/>
      <w:r>
        <w:rPr>
          <w:color w:val="000000"/>
        </w:rPr>
        <w:t xml:space="preserve"> JN, Polly DW. How often is low back pain not coming from the back? Spine. 2009;34(1):E27–E32.</w:t>
      </w:r>
    </w:p>
    <w:p w14:paraId="2086C9FF" w14:textId="77777777" w:rsidR="00EC05A7" w:rsidRDefault="005A700D">
      <w:pPr>
        <w:spacing w:before="40" w:after="40" w:line="276" w:lineRule="auto"/>
        <w:jc w:val="both"/>
      </w:pPr>
      <w:r>
        <w:rPr>
          <w:color w:val="000000"/>
        </w:rPr>
        <w:t xml:space="preserve">[2] </w:t>
      </w:r>
      <w:proofErr w:type="spellStart"/>
      <w:r>
        <w:rPr>
          <w:color w:val="000000"/>
        </w:rPr>
        <w:t>Vleeming</w:t>
      </w:r>
      <w:proofErr w:type="spellEnd"/>
      <w:r>
        <w:rPr>
          <w:color w:val="000000"/>
        </w:rPr>
        <w:t xml:space="preserve"> A, </w:t>
      </w:r>
      <w:proofErr w:type="spellStart"/>
      <w:r>
        <w:rPr>
          <w:color w:val="000000"/>
        </w:rPr>
        <w:t>Schuenke</w:t>
      </w:r>
      <w:proofErr w:type="spellEnd"/>
      <w:r>
        <w:rPr>
          <w:color w:val="000000"/>
        </w:rPr>
        <w:t xml:space="preserve"> MD, </w:t>
      </w:r>
      <w:proofErr w:type="spellStart"/>
      <w:r>
        <w:rPr>
          <w:color w:val="000000"/>
        </w:rPr>
        <w:t>Masi</w:t>
      </w:r>
      <w:proofErr w:type="spellEnd"/>
      <w:r>
        <w:rPr>
          <w:color w:val="000000"/>
        </w:rPr>
        <w:t xml:space="preserve"> AT, et al. The sacroiliac joint: an overview of its anatomy, function and potential clinical implications. J Anat. 2012;221(6):537–567.</w:t>
      </w:r>
    </w:p>
    <w:p w14:paraId="6E0008F6" w14:textId="77777777" w:rsidR="00EC05A7" w:rsidRDefault="005A700D">
      <w:pPr>
        <w:spacing w:before="40" w:after="40" w:line="276" w:lineRule="auto"/>
        <w:jc w:val="both"/>
      </w:pPr>
      <w:r>
        <w:rPr>
          <w:color w:val="000000"/>
        </w:rPr>
        <w:t xml:space="preserve">[3] </w:t>
      </w:r>
      <w:proofErr w:type="spellStart"/>
      <w:r>
        <w:rPr>
          <w:color w:val="000000"/>
        </w:rPr>
        <w:t>Laslett</w:t>
      </w:r>
      <w:proofErr w:type="spellEnd"/>
      <w:r>
        <w:rPr>
          <w:color w:val="000000"/>
        </w:rPr>
        <w:t xml:space="preserve"> M, </w:t>
      </w:r>
      <w:proofErr w:type="spellStart"/>
      <w:r>
        <w:rPr>
          <w:color w:val="000000"/>
        </w:rPr>
        <w:t>Aprill</w:t>
      </w:r>
      <w:proofErr w:type="spellEnd"/>
      <w:r>
        <w:rPr>
          <w:color w:val="000000"/>
        </w:rPr>
        <w:t xml:space="preserve"> CN, McDonald B, Young SB. Diagnosis of sacroiliac joint pain: validity of individual provocation tests and composites of tests. Man </w:t>
      </w:r>
      <w:proofErr w:type="spellStart"/>
      <w:r>
        <w:rPr>
          <w:color w:val="000000"/>
        </w:rPr>
        <w:t>Ther</w:t>
      </w:r>
      <w:proofErr w:type="spellEnd"/>
      <w:r>
        <w:rPr>
          <w:color w:val="000000"/>
        </w:rPr>
        <w:t>. 2005;10(3):207–218.</w:t>
      </w:r>
    </w:p>
    <w:p w14:paraId="1264B098" w14:textId="77777777" w:rsidR="00EC05A7" w:rsidRDefault="005A700D">
      <w:pPr>
        <w:spacing w:before="40" w:after="40" w:line="276" w:lineRule="auto"/>
        <w:jc w:val="both"/>
      </w:pPr>
      <w:r>
        <w:rPr>
          <w:color w:val="000000"/>
        </w:rPr>
        <w:t xml:space="preserve">[4] van der </w:t>
      </w:r>
      <w:proofErr w:type="spellStart"/>
      <w:r>
        <w:rPr>
          <w:color w:val="000000"/>
        </w:rPr>
        <w:t>Wurff</w:t>
      </w:r>
      <w:proofErr w:type="spellEnd"/>
      <w:r>
        <w:rPr>
          <w:color w:val="000000"/>
        </w:rPr>
        <w:t xml:space="preserve"> P, </w:t>
      </w:r>
      <w:proofErr w:type="spellStart"/>
      <w:r>
        <w:rPr>
          <w:color w:val="000000"/>
        </w:rPr>
        <w:t>Hagmeijer</w:t>
      </w:r>
      <w:proofErr w:type="spellEnd"/>
      <w:r>
        <w:rPr>
          <w:color w:val="000000"/>
        </w:rPr>
        <w:t xml:space="preserve"> RHM, </w:t>
      </w:r>
      <w:proofErr w:type="spellStart"/>
      <w:r>
        <w:rPr>
          <w:color w:val="000000"/>
        </w:rPr>
        <w:t>Meyne</w:t>
      </w:r>
      <w:proofErr w:type="spellEnd"/>
      <w:r>
        <w:rPr>
          <w:color w:val="000000"/>
        </w:rPr>
        <w:t xml:space="preserve"> W. Clinical tests of the sacroiliac joint: a systematic methodological review. Part 1: reliability. Man </w:t>
      </w:r>
      <w:proofErr w:type="spellStart"/>
      <w:r>
        <w:rPr>
          <w:color w:val="000000"/>
        </w:rPr>
        <w:t>Ther</w:t>
      </w:r>
      <w:proofErr w:type="spellEnd"/>
      <w:r>
        <w:rPr>
          <w:color w:val="000000"/>
        </w:rPr>
        <w:t>. 2000;5(1):30–36.</w:t>
      </w:r>
    </w:p>
    <w:p w14:paraId="3BD767FF" w14:textId="77777777" w:rsidR="00EC05A7" w:rsidRDefault="005A700D">
      <w:pPr>
        <w:spacing w:before="40" w:after="40" w:line="276" w:lineRule="auto"/>
        <w:jc w:val="both"/>
      </w:pPr>
      <w:r>
        <w:rPr>
          <w:color w:val="000000"/>
        </w:rPr>
        <w:t xml:space="preserve">[5] Wilson E, Payton O, </w:t>
      </w:r>
      <w:proofErr w:type="spellStart"/>
      <w:r>
        <w:rPr>
          <w:color w:val="000000"/>
        </w:rPr>
        <w:t>Donegan-Shoaf</w:t>
      </w:r>
      <w:proofErr w:type="spellEnd"/>
      <w:r>
        <w:rPr>
          <w:color w:val="000000"/>
        </w:rPr>
        <w:t xml:space="preserve"> L, Dec K. Muscle energy technique in patients with acute low back pain: a pilot clinical trial. J </w:t>
      </w:r>
      <w:proofErr w:type="spellStart"/>
      <w:r>
        <w:rPr>
          <w:color w:val="000000"/>
        </w:rPr>
        <w:t>Orthop</w:t>
      </w:r>
      <w:proofErr w:type="spellEnd"/>
      <w:r>
        <w:rPr>
          <w:color w:val="000000"/>
        </w:rPr>
        <w:t xml:space="preserve"> Sports </w:t>
      </w:r>
      <w:proofErr w:type="spellStart"/>
      <w:r>
        <w:rPr>
          <w:color w:val="000000"/>
        </w:rPr>
        <w:t>Phys</w:t>
      </w:r>
      <w:proofErr w:type="spellEnd"/>
      <w:r>
        <w:rPr>
          <w:color w:val="000000"/>
        </w:rPr>
        <w:t xml:space="preserve"> </w:t>
      </w:r>
      <w:proofErr w:type="spellStart"/>
      <w:r>
        <w:rPr>
          <w:color w:val="000000"/>
        </w:rPr>
        <w:t>Ther</w:t>
      </w:r>
      <w:proofErr w:type="spellEnd"/>
      <w:r>
        <w:rPr>
          <w:color w:val="000000"/>
        </w:rPr>
        <w:t>. 2003;33(9):502–512.</w:t>
      </w:r>
    </w:p>
    <w:p w14:paraId="51BD84FE" w14:textId="77777777" w:rsidR="00EC05A7" w:rsidRDefault="005A700D">
      <w:pPr>
        <w:spacing w:before="40" w:after="40" w:line="276" w:lineRule="auto"/>
        <w:jc w:val="both"/>
      </w:pPr>
      <w:r>
        <w:rPr>
          <w:color w:val="000000"/>
        </w:rPr>
        <w:t xml:space="preserve">[6] </w:t>
      </w:r>
      <w:proofErr w:type="spellStart"/>
      <w:r>
        <w:rPr>
          <w:color w:val="000000"/>
        </w:rPr>
        <w:t>Vicenzino</w:t>
      </w:r>
      <w:proofErr w:type="spellEnd"/>
      <w:r>
        <w:rPr>
          <w:color w:val="000000"/>
        </w:rPr>
        <w:t xml:space="preserve"> B, </w:t>
      </w:r>
      <w:proofErr w:type="spellStart"/>
      <w:r>
        <w:rPr>
          <w:color w:val="000000"/>
        </w:rPr>
        <w:t>Paungmali</w:t>
      </w:r>
      <w:proofErr w:type="spellEnd"/>
      <w:r>
        <w:rPr>
          <w:color w:val="000000"/>
        </w:rPr>
        <w:t xml:space="preserve"> A, </w:t>
      </w:r>
      <w:proofErr w:type="spellStart"/>
      <w:r>
        <w:rPr>
          <w:color w:val="000000"/>
        </w:rPr>
        <w:t>Buratowski</w:t>
      </w:r>
      <w:proofErr w:type="spellEnd"/>
      <w:r>
        <w:rPr>
          <w:color w:val="000000"/>
        </w:rPr>
        <w:t xml:space="preserve"> S, Wright A. Specific manipulative therapy treatment for chronic lateral </w:t>
      </w:r>
      <w:proofErr w:type="spellStart"/>
      <w:r>
        <w:rPr>
          <w:color w:val="000000"/>
        </w:rPr>
        <w:t>epicondylalgia</w:t>
      </w:r>
      <w:proofErr w:type="spellEnd"/>
      <w:r>
        <w:rPr>
          <w:color w:val="000000"/>
        </w:rPr>
        <w:t xml:space="preserve"> produces uniquely characteristic </w:t>
      </w:r>
      <w:proofErr w:type="spellStart"/>
      <w:r>
        <w:rPr>
          <w:color w:val="000000"/>
        </w:rPr>
        <w:t>hypoalgesia</w:t>
      </w:r>
      <w:proofErr w:type="spellEnd"/>
      <w:r>
        <w:rPr>
          <w:color w:val="000000"/>
        </w:rPr>
        <w:t xml:space="preserve">. Man </w:t>
      </w:r>
      <w:proofErr w:type="spellStart"/>
      <w:r>
        <w:rPr>
          <w:color w:val="000000"/>
        </w:rPr>
        <w:t>Ther</w:t>
      </w:r>
      <w:proofErr w:type="spellEnd"/>
      <w:r>
        <w:rPr>
          <w:color w:val="000000"/>
        </w:rPr>
        <w:t>. 2001;6(4):205–212.</w:t>
      </w:r>
    </w:p>
    <w:p w14:paraId="6EA3D891" w14:textId="77777777" w:rsidR="00EC05A7" w:rsidRDefault="005A700D">
      <w:pPr>
        <w:spacing w:before="40" w:after="40" w:line="276" w:lineRule="auto"/>
        <w:jc w:val="both"/>
      </w:pPr>
      <w:r>
        <w:rPr>
          <w:color w:val="000000"/>
        </w:rPr>
        <w:t xml:space="preserve">[7] Fryer G. Muscle energy technique: An evidence-informed approach. </w:t>
      </w:r>
      <w:proofErr w:type="spellStart"/>
      <w:r>
        <w:rPr>
          <w:color w:val="000000"/>
        </w:rPr>
        <w:t>Int</w:t>
      </w:r>
      <w:proofErr w:type="spellEnd"/>
      <w:r>
        <w:rPr>
          <w:color w:val="000000"/>
        </w:rPr>
        <w:t xml:space="preserve"> J Osteopath Med. 2011;14(1):3–9.</w:t>
      </w:r>
    </w:p>
    <w:p w14:paraId="1EB819C8" w14:textId="77777777" w:rsidR="00EC05A7" w:rsidRDefault="005A700D">
      <w:pPr>
        <w:spacing w:before="40" w:after="40" w:line="276" w:lineRule="auto"/>
        <w:jc w:val="both"/>
      </w:pPr>
      <w:r>
        <w:rPr>
          <w:color w:val="000000"/>
        </w:rPr>
        <w:t xml:space="preserve">[8] </w:t>
      </w:r>
      <w:proofErr w:type="spellStart"/>
      <w:r>
        <w:rPr>
          <w:color w:val="000000"/>
        </w:rPr>
        <w:t>Kamali</w:t>
      </w:r>
      <w:proofErr w:type="spellEnd"/>
      <w:r>
        <w:rPr>
          <w:color w:val="000000"/>
        </w:rPr>
        <w:t xml:space="preserve"> F, </w:t>
      </w:r>
      <w:proofErr w:type="spellStart"/>
      <w:r>
        <w:rPr>
          <w:color w:val="000000"/>
        </w:rPr>
        <w:t>Zamanlou</w:t>
      </w:r>
      <w:proofErr w:type="spellEnd"/>
      <w:r>
        <w:rPr>
          <w:color w:val="000000"/>
        </w:rPr>
        <w:t xml:space="preserve"> M, </w:t>
      </w:r>
      <w:proofErr w:type="spellStart"/>
      <w:r>
        <w:rPr>
          <w:color w:val="000000"/>
        </w:rPr>
        <w:t>Ghanbari</w:t>
      </w:r>
      <w:proofErr w:type="spellEnd"/>
      <w:r>
        <w:rPr>
          <w:color w:val="000000"/>
        </w:rPr>
        <w:t xml:space="preserve"> A, et al. Comparison of manipulation and stabilization exercises in patients with sacroiliac joint dysfunction. J </w:t>
      </w:r>
      <w:proofErr w:type="spellStart"/>
      <w:r>
        <w:rPr>
          <w:color w:val="000000"/>
        </w:rPr>
        <w:t>Bodyw</w:t>
      </w:r>
      <w:proofErr w:type="spellEnd"/>
      <w:r>
        <w:rPr>
          <w:color w:val="000000"/>
        </w:rPr>
        <w:t xml:space="preserve"> </w:t>
      </w:r>
      <w:proofErr w:type="spellStart"/>
      <w:r>
        <w:rPr>
          <w:color w:val="000000"/>
        </w:rPr>
        <w:t>Mov</w:t>
      </w:r>
      <w:proofErr w:type="spellEnd"/>
      <w:r>
        <w:rPr>
          <w:color w:val="000000"/>
        </w:rPr>
        <w:t xml:space="preserve"> </w:t>
      </w:r>
      <w:proofErr w:type="spellStart"/>
      <w:r>
        <w:rPr>
          <w:color w:val="000000"/>
        </w:rPr>
        <w:t>Ther</w:t>
      </w:r>
      <w:proofErr w:type="spellEnd"/>
      <w:r>
        <w:rPr>
          <w:color w:val="000000"/>
        </w:rPr>
        <w:t>. 2019;23(1):177–182.</w:t>
      </w:r>
    </w:p>
    <w:p w14:paraId="17C1BEBD" w14:textId="77777777" w:rsidR="00EC05A7" w:rsidRDefault="005A700D">
      <w:pPr>
        <w:spacing w:before="40" w:after="40" w:line="276" w:lineRule="auto"/>
        <w:jc w:val="both"/>
      </w:pPr>
      <w:r>
        <w:rPr>
          <w:color w:val="000000"/>
        </w:rPr>
        <w:t xml:space="preserve">[9] Hungerford B, </w:t>
      </w:r>
      <w:proofErr w:type="spellStart"/>
      <w:r>
        <w:rPr>
          <w:color w:val="000000"/>
        </w:rPr>
        <w:t>Gilleard</w:t>
      </w:r>
      <w:proofErr w:type="spellEnd"/>
      <w:r>
        <w:rPr>
          <w:color w:val="000000"/>
        </w:rPr>
        <w:t xml:space="preserve"> W, Lee D. Altered patterns of pelvic bone motion determined in subjects with posterior pelvic pain using skin markers. </w:t>
      </w:r>
      <w:proofErr w:type="spellStart"/>
      <w:r>
        <w:rPr>
          <w:color w:val="000000"/>
        </w:rPr>
        <w:t>Clin</w:t>
      </w:r>
      <w:proofErr w:type="spellEnd"/>
      <w:r>
        <w:rPr>
          <w:color w:val="000000"/>
        </w:rPr>
        <w:t xml:space="preserve"> </w:t>
      </w:r>
      <w:proofErr w:type="spellStart"/>
      <w:r>
        <w:rPr>
          <w:color w:val="000000"/>
        </w:rPr>
        <w:t>Biomech</w:t>
      </w:r>
      <w:proofErr w:type="spellEnd"/>
      <w:r>
        <w:rPr>
          <w:color w:val="000000"/>
        </w:rPr>
        <w:t>. 2004;19(5):456–464.</w:t>
      </w:r>
    </w:p>
    <w:p w14:paraId="7EBF0B29" w14:textId="77777777" w:rsidR="00EC05A7" w:rsidRDefault="005A700D">
      <w:pPr>
        <w:spacing w:before="40" w:after="40" w:line="276" w:lineRule="auto"/>
        <w:jc w:val="both"/>
      </w:pPr>
      <w:r>
        <w:rPr>
          <w:color w:val="000000"/>
        </w:rPr>
        <w:t>[10] Mulligan BR. Manual Therapy 'NAGs', 'SNAGs', 'MWMs' etc. 6th ed. Wellington: Plane View Services Ltd; 2010.</w:t>
      </w:r>
    </w:p>
    <w:p w14:paraId="021C0E12" w14:textId="77777777" w:rsidR="00EC05A7" w:rsidRDefault="005A700D">
      <w:pPr>
        <w:spacing w:before="40" w:after="40" w:line="276" w:lineRule="auto"/>
        <w:jc w:val="both"/>
      </w:pPr>
      <w:r>
        <w:rPr>
          <w:color w:val="000000"/>
        </w:rPr>
        <w:t xml:space="preserve">[11] </w:t>
      </w:r>
      <w:proofErr w:type="spellStart"/>
      <w:r>
        <w:rPr>
          <w:color w:val="000000"/>
        </w:rPr>
        <w:t>Konstantinou</w:t>
      </w:r>
      <w:proofErr w:type="spellEnd"/>
      <w:r>
        <w:rPr>
          <w:color w:val="000000"/>
        </w:rPr>
        <w:t xml:space="preserve"> K, Foster N, Rushton A, Baxter D. The use and reported effects of mobilization with movement techniques in low back pain management; a cross-sectional descriptive survey of physiotherapists in Britain. Man </w:t>
      </w:r>
      <w:proofErr w:type="spellStart"/>
      <w:r>
        <w:rPr>
          <w:color w:val="000000"/>
        </w:rPr>
        <w:t>Ther</w:t>
      </w:r>
      <w:proofErr w:type="spellEnd"/>
      <w:r>
        <w:rPr>
          <w:color w:val="000000"/>
        </w:rPr>
        <w:t>. 2002;7(4):206–214.</w:t>
      </w:r>
    </w:p>
    <w:p w14:paraId="09548ADB" w14:textId="77777777" w:rsidR="00EC05A7" w:rsidRDefault="005A700D">
      <w:pPr>
        <w:spacing w:before="40" w:after="40" w:line="276" w:lineRule="auto"/>
        <w:jc w:val="both"/>
      </w:pPr>
      <w:r>
        <w:rPr>
          <w:color w:val="000000"/>
        </w:rPr>
        <w:t xml:space="preserve">[12] Richardson CA, </w:t>
      </w:r>
      <w:proofErr w:type="spellStart"/>
      <w:r>
        <w:rPr>
          <w:color w:val="000000"/>
        </w:rPr>
        <w:t>Snijders</w:t>
      </w:r>
      <w:proofErr w:type="spellEnd"/>
      <w:r>
        <w:rPr>
          <w:color w:val="000000"/>
        </w:rPr>
        <w:t xml:space="preserve"> CJ, Hides JA, et al. The relation between the </w:t>
      </w:r>
      <w:proofErr w:type="spellStart"/>
      <w:r>
        <w:rPr>
          <w:color w:val="000000"/>
        </w:rPr>
        <w:t>transversus</w:t>
      </w:r>
      <w:proofErr w:type="spellEnd"/>
      <w:r>
        <w:rPr>
          <w:color w:val="000000"/>
        </w:rPr>
        <w:t xml:space="preserve"> abdominis muscles, sacroiliac joint mechanics, and low back pain. Spine. 2002;27(4):399–405.</w:t>
      </w:r>
    </w:p>
    <w:p w14:paraId="0B5F9D86" w14:textId="77777777" w:rsidR="00EC05A7" w:rsidRDefault="005A700D">
      <w:pPr>
        <w:spacing w:before="40" w:after="40" w:line="276" w:lineRule="auto"/>
        <w:jc w:val="both"/>
      </w:pPr>
      <w:r>
        <w:rPr>
          <w:color w:val="000000"/>
        </w:rPr>
        <w:t xml:space="preserve">[13] </w:t>
      </w:r>
      <w:proofErr w:type="spellStart"/>
      <w:r>
        <w:rPr>
          <w:color w:val="000000"/>
        </w:rPr>
        <w:t>Mens</w:t>
      </w:r>
      <w:proofErr w:type="spellEnd"/>
      <w:r>
        <w:rPr>
          <w:color w:val="000000"/>
        </w:rPr>
        <w:t xml:space="preserve"> JMA, </w:t>
      </w:r>
      <w:proofErr w:type="spellStart"/>
      <w:r>
        <w:rPr>
          <w:color w:val="000000"/>
        </w:rPr>
        <w:t>Vleeming</w:t>
      </w:r>
      <w:proofErr w:type="spellEnd"/>
      <w:r>
        <w:rPr>
          <w:color w:val="000000"/>
        </w:rPr>
        <w:t xml:space="preserve"> A, </w:t>
      </w:r>
      <w:proofErr w:type="spellStart"/>
      <w:r>
        <w:rPr>
          <w:color w:val="000000"/>
        </w:rPr>
        <w:t>Snijders</w:t>
      </w:r>
      <w:proofErr w:type="spellEnd"/>
      <w:r>
        <w:rPr>
          <w:color w:val="000000"/>
        </w:rPr>
        <w:t xml:space="preserve"> CJ, et al. The active straight leg raising test and mobility of the pelvic joints. </w:t>
      </w:r>
      <w:proofErr w:type="spellStart"/>
      <w:r>
        <w:rPr>
          <w:color w:val="000000"/>
        </w:rPr>
        <w:t>Eur</w:t>
      </w:r>
      <w:proofErr w:type="spellEnd"/>
      <w:r>
        <w:rPr>
          <w:color w:val="000000"/>
        </w:rPr>
        <w:t xml:space="preserve"> Spine J. 1999;8(6):468–473.</w:t>
      </w:r>
    </w:p>
    <w:p w14:paraId="6E2ADD5B" w14:textId="77777777" w:rsidR="00EC05A7" w:rsidRDefault="005A700D">
      <w:pPr>
        <w:spacing w:before="40" w:after="40" w:line="276" w:lineRule="auto"/>
        <w:jc w:val="both"/>
      </w:pPr>
      <w:r>
        <w:rPr>
          <w:color w:val="000000"/>
        </w:rPr>
        <w:t>[14] Pool-</w:t>
      </w:r>
      <w:proofErr w:type="spellStart"/>
      <w:r>
        <w:rPr>
          <w:color w:val="000000"/>
        </w:rPr>
        <w:t>Goudzwaard</w:t>
      </w:r>
      <w:proofErr w:type="spellEnd"/>
      <w:r>
        <w:rPr>
          <w:color w:val="000000"/>
        </w:rPr>
        <w:t xml:space="preserve"> A, Hoek van </w:t>
      </w:r>
      <w:proofErr w:type="spellStart"/>
      <w:r>
        <w:rPr>
          <w:color w:val="000000"/>
        </w:rPr>
        <w:t>Dijke</w:t>
      </w:r>
      <w:proofErr w:type="spellEnd"/>
      <w:r>
        <w:rPr>
          <w:color w:val="000000"/>
        </w:rPr>
        <w:t xml:space="preserve"> G, van </w:t>
      </w:r>
      <w:proofErr w:type="spellStart"/>
      <w:r>
        <w:rPr>
          <w:color w:val="000000"/>
        </w:rPr>
        <w:t>Gurp</w:t>
      </w:r>
      <w:proofErr w:type="spellEnd"/>
      <w:r>
        <w:rPr>
          <w:color w:val="000000"/>
        </w:rPr>
        <w:t xml:space="preserve"> M, et al. Contribution of pelvic floor muscles to stiffness of the pelvic ring. </w:t>
      </w:r>
      <w:proofErr w:type="spellStart"/>
      <w:r>
        <w:rPr>
          <w:color w:val="000000"/>
        </w:rPr>
        <w:t>Clin</w:t>
      </w:r>
      <w:proofErr w:type="spellEnd"/>
      <w:r>
        <w:rPr>
          <w:color w:val="000000"/>
        </w:rPr>
        <w:t xml:space="preserve"> </w:t>
      </w:r>
      <w:proofErr w:type="spellStart"/>
      <w:r>
        <w:rPr>
          <w:color w:val="000000"/>
        </w:rPr>
        <w:t>Biomech</w:t>
      </w:r>
      <w:proofErr w:type="spellEnd"/>
      <w:r>
        <w:rPr>
          <w:color w:val="000000"/>
        </w:rPr>
        <w:t>. 2004;19(6):564–571.</w:t>
      </w:r>
    </w:p>
    <w:p w14:paraId="7D7AEC23" w14:textId="77777777" w:rsidR="00EC05A7" w:rsidRDefault="005A700D">
      <w:pPr>
        <w:spacing w:before="40" w:after="40" w:line="276" w:lineRule="auto"/>
        <w:jc w:val="both"/>
      </w:pPr>
      <w:r>
        <w:rPr>
          <w:color w:val="000000"/>
        </w:rPr>
        <w:t xml:space="preserve">[15] Lee D, Lee L-J. Integrated, multimodal approach to the treatment of </w:t>
      </w:r>
      <w:proofErr w:type="spellStart"/>
      <w:r>
        <w:rPr>
          <w:color w:val="000000"/>
        </w:rPr>
        <w:t>lumbopelvic</w:t>
      </w:r>
      <w:proofErr w:type="spellEnd"/>
      <w:r>
        <w:rPr>
          <w:color w:val="000000"/>
        </w:rPr>
        <w:t>/hip disorders. In: Magee D, ed. Pathology and Intervention in Musculoskeletal Rehabilitation. 2nd ed. Elsevier; 2016.</w:t>
      </w:r>
    </w:p>
    <w:p w14:paraId="6FC1EC3B" w14:textId="77777777" w:rsidR="00EC05A7" w:rsidRDefault="005A700D">
      <w:pPr>
        <w:spacing w:before="40" w:after="40" w:line="276" w:lineRule="auto"/>
        <w:jc w:val="both"/>
      </w:pPr>
      <w:r>
        <w:rPr>
          <w:color w:val="000000"/>
        </w:rPr>
        <w:t xml:space="preserve">[16] </w:t>
      </w:r>
      <w:proofErr w:type="spellStart"/>
      <w:r>
        <w:rPr>
          <w:color w:val="000000"/>
        </w:rPr>
        <w:t>Slipman</w:t>
      </w:r>
      <w:proofErr w:type="spellEnd"/>
      <w:r>
        <w:rPr>
          <w:color w:val="000000"/>
        </w:rPr>
        <w:t xml:space="preserve"> CW, Whyte WS, Chow DW, et al. Sacroiliac joint syndrome. Pain Physician. 2001;4(2):143–152.</w:t>
      </w:r>
    </w:p>
    <w:p w14:paraId="7D907476" w14:textId="77777777" w:rsidR="00EC05A7" w:rsidRDefault="005A700D">
      <w:pPr>
        <w:spacing w:before="40" w:after="40" w:line="276" w:lineRule="auto"/>
        <w:jc w:val="both"/>
      </w:pPr>
      <w:r>
        <w:rPr>
          <w:color w:val="000000"/>
        </w:rPr>
        <w:t xml:space="preserve">[17] </w:t>
      </w:r>
      <w:proofErr w:type="spellStart"/>
      <w:r>
        <w:rPr>
          <w:color w:val="000000"/>
        </w:rPr>
        <w:t>Damen</w:t>
      </w:r>
      <w:proofErr w:type="spellEnd"/>
      <w:r>
        <w:rPr>
          <w:color w:val="000000"/>
        </w:rPr>
        <w:t xml:space="preserve"> L, </w:t>
      </w:r>
      <w:proofErr w:type="spellStart"/>
      <w:r>
        <w:rPr>
          <w:color w:val="000000"/>
        </w:rPr>
        <w:t>Buyruk</w:t>
      </w:r>
      <w:proofErr w:type="spellEnd"/>
      <w:r>
        <w:rPr>
          <w:color w:val="000000"/>
        </w:rPr>
        <w:t xml:space="preserve"> HM, </w:t>
      </w:r>
      <w:proofErr w:type="spellStart"/>
      <w:r>
        <w:rPr>
          <w:color w:val="000000"/>
        </w:rPr>
        <w:t>Güler-Uysal</w:t>
      </w:r>
      <w:proofErr w:type="spellEnd"/>
      <w:r>
        <w:rPr>
          <w:color w:val="000000"/>
        </w:rPr>
        <w:t xml:space="preserve"> F, et al. Pelvic pain during pregnancy is associated with asymmetric laxity of the sacroiliac joints. </w:t>
      </w:r>
      <w:proofErr w:type="spellStart"/>
      <w:r>
        <w:rPr>
          <w:color w:val="000000"/>
        </w:rPr>
        <w:t>Acta</w:t>
      </w:r>
      <w:proofErr w:type="spellEnd"/>
      <w:r>
        <w:rPr>
          <w:color w:val="000000"/>
        </w:rPr>
        <w:t xml:space="preserve"> </w:t>
      </w:r>
      <w:proofErr w:type="spellStart"/>
      <w:r>
        <w:rPr>
          <w:color w:val="000000"/>
        </w:rPr>
        <w:t>Obstet</w:t>
      </w:r>
      <w:proofErr w:type="spellEnd"/>
      <w:r>
        <w:rPr>
          <w:color w:val="000000"/>
        </w:rPr>
        <w:t xml:space="preserve"> </w:t>
      </w:r>
      <w:proofErr w:type="spellStart"/>
      <w:r>
        <w:rPr>
          <w:color w:val="000000"/>
        </w:rPr>
        <w:t>Gynecol</w:t>
      </w:r>
      <w:proofErr w:type="spellEnd"/>
      <w:r>
        <w:rPr>
          <w:color w:val="000000"/>
        </w:rPr>
        <w:t xml:space="preserve"> Scand. 2001;80(11):1019–1024.</w:t>
      </w:r>
    </w:p>
    <w:p w14:paraId="29D0DBC3" w14:textId="77777777" w:rsidR="00EC05A7" w:rsidRDefault="005A700D">
      <w:pPr>
        <w:spacing w:before="40" w:after="40" w:line="276" w:lineRule="auto"/>
        <w:jc w:val="both"/>
      </w:pPr>
      <w:r>
        <w:rPr>
          <w:color w:val="000000"/>
        </w:rPr>
        <w:t xml:space="preserve">[18] Arab AM, </w:t>
      </w:r>
      <w:proofErr w:type="spellStart"/>
      <w:r>
        <w:rPr>
          <w:color w:val="000000"/>
        </w:rPr>
        <w:t>Abdollahi</w:t>
      </w:r>
      <w:proofErr w:type="spellEnd"/>
      <w:r>
        <w:rPr>
          <w:color w:val="000000"/>
        </w:rPr>
        <w:t xml:space="preserve"> I, </w:t>
      </w:r>
      <w:proofErr w:type="spellStart"/>
      <w:r>
        <w:rPr>
          <w:color w:val="000000"/>
        </w:rPr>
        <w:t>Joghataei</w:t>
      </w:r>
      <w:proofErr w:type="spellEnd"/>
      <w:r>
        <w:rPr>
          <w:color w:val="000000"/>
        </w:rPr>
        <w:t xml:space="preserve"> MT, et al. Inter- and intra-examiner reliability of single and composites of selected motion palpation and pain provocation tests for sacroiliac joint. Man </w:t>
      </w:r>
      <w:proofErr w:type="spellStart"/>
      <w:r>
        <w:rPr>
          <w:color w:val="000000"/>
        </w:rPr>
        <w:t>Ther</w:t>
      </w:r>
      <w:proofErr w:type="spellEnd"/>
      <w:r>
        <w:rPr>
          <w:color w:val="000000"/>
        </w:rPr>
        <w:t>. 2009;14(2):213–221.</w:t>
      </w:r>
    </w:p>
    <w:p w14:paraId="4C8B9C49" w14:textId="77777777" w:rsidR="00EC05A7" w:rsidRDefault="005A700D">
      <w:pPr>
        <w:spacing w:before="40" w:after="40" w:line="276" w:lineRule="auto"/>
        <w:jc w:val="both"/>
      </w:pPr>
      <w:r>
        <w:rPr>
          <w:color w:val="000000"/>
        </w:rPr>
        <w:t xml:space="preserve">[19] Hancock MJ, Maher CG, Latimer J, et al. Systematic review of tests to identify the disc, SIJ or facet joint as the source of low back pain. </w:t>
      </w:r>
      <w:proofErr w:type="spellStart"/>
      <w:r>
        <w:rPr>
          <w:color w:val="000000"/>
        </w:rPr>
        <w:t>Eur</w:t>
      </w:r>
      <w:proofErr w:type="spellEnd"/>
      <w:r>
        <w:rPr>
          <w:color w:val="000000"/>
        </w:rPr>
        <w:t xml:space="preserve"> Spine J. 2007;16(10):1539–1550.</w:t>
      </w:r>
    </w:p>
    <w:p w14:paraId="22F76B32" w14:textId="77777777" w:rsidR="00EC05A7" w:rsidRDefault="005A700D">
      <w:pPr>
        <w:spacing w:before="40" w:after="40" w:line="276" w:lineRule="auto"/>
        <w:jc w:val="both"/>
      </w:pPr>
      <w:r>
        <w:rPr>
          <w:color w:val="000000"/>
        </w:rPr>
        <w:t xml:space="preserve">[20] </w:t>
      </w:r>
      <w:proofErr w:type="spellStart"/>
      <w:r>
        <w:rPr>
          <w:color w:val="000000"/>
        </w:rPr>
        <w:t>Airaksinen</w:t>
      </w:r>
      <w:proofErr w:type="spellEnd"/>
      <w:r>
        <w:rPr>
          <w:color w:val="000000"/>
        </w:rPr>
        <w:t xml:space="preserve"> O, </w:t>
      </w:r>
      <w:proofErr w:type="spellStart"/>
      <w:r>
        <w:rPr>
          <w:color w:val="000000"/>
        </w:rPr>
        <w:t>Brox</w:t>
      </w:r>
      <w:proofErr w:type="spellEnd"/>
      <w:r>
        <w:rPr>
          <w:color w:val="000000"/>
        </w:rPr>
        <w:t xml:space="preserve"> JI, </w:t>
      </w:r>
      <w:proofErr w:type="spellStart"/>
      <w:r>
        <w:rPr>
          <w:color w:val="000000"/>
        </w:rPr>
        <w:t>Cedraschi</w:t>
      </w:r>
      <w:proofErr w:type="spellEnd"/>
      <w:r>
        <w:rPr>
          <w:color w:val="000000"/>
        </w:rPr>
        <w:t xml:space="preserve"> C, et al. Chapter 4: European guidelines for the management of chronic nonspecific low back pain. </w:t>
      </w:r>
      <w:proofErr w:type="spellStart"/>
      <w:r>
        <w:rPr>
          <w:color w:val="000000"/>
        </w:rPr>
        <w:t>Eur</w:t>
      </w:r>
      <w:proofErr w:type="spellEnd"/>
      <w:r>
        <w:rPr>
          <w:color w:val="000000"/>
        </w:rPr>
        <w:t xml:space="preserve"> Spine J. 2006;15(</w:t>
      </w:r>
      <w:proofErr w:type="spellStart"/>
      <w:r>
        <w:rPr>
          <w:color w:val="000000"/>
        </w:rPr>
        <w:t>Suppl</w:t>
      </w:r>
      <w:proofErr w:type="spellEnd"/>
      <w:r>
        <w:rPr>
          <w:color w:val="000000"/>
        </w:rPr>
        <w:t xml:space="preserve"> 2):S192–S300.</w:t>
      </w:r>
    </w:p>
    <w:sectPr w:rsidR="00EC05A7">
      <w:headerReference w:type="default" r:id="rId7"/>
      <w:footerReference w:type="default" r:id="rId8"/>
      <w:pgSz w:w="12240" w:h="15840"/>
      <w:pgMar w:top="1008" w:right="900" w:bottom="1008" w:left="9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68148" w14:textId="77777777" w:rsidR="005A700D" w:rsidRDefault="005A700D">
      <w:r>
        <w:separator/>
      </w:r>
    </w:p>
  </w:endnote>
  <w:endnote w:type="continuationSeparator" w:id="0">
    <w:p w14:paraId="2A8C0CF7" w14:textId="77777777" w:rsidR="005A700D" w:rsidRDefault="005A7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3C72" w14:textId="77777777" w:rsidR="00EC05A7" w:rsidRDefault="005A700D">
    <w:pPr>
      <w:pBdr>
        <w:top w:val="single" w:sz="6" w:space="4" w:color="1F497D"/>
      </w:pBdr>
      <w:spacing w:before="60"/>
      <w:jc w:val="center"/>
    </w:pPr>
    <w:r>
      <w:rPr>
        <w:rFonts w:ascii="Arial" w:eastAsia="Arial" w:hAnsi="Arial" w:cs="Arial"/>
        <w:color w:val="595959"/>
        <w:sz w:val="16"/>
        <w:szCs w:val="16"/>
      </w:rPr>
      <w:t>www.rsisinternational.org  |  ISSN 2454-6194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3BD2F" w14:textId="77777777" w:rsidR="005A700D" w:rsidRDefault="005A700D">
      <w:r>
        <w:separator/>
      </w:r>
    </w:p>
  </w:footnote>
  <w:footnote w:type="continuationSeparator" w:id="0">
    <w:p w14:paraId="2263271E" w14:textId="77777777" w:rsidR="005A700D" w:rsidRDefault="005A7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B148" w14:textId="77777777" w:rsidR="00EC05A7" w:rsidRDefault="005A700D">
    <w:pPr>
      <w:pBdr>
        <w:bottom w:val="single" w:sz="6" w:space="4" w:color="1F497D"/>
      </w:pBdr>
      <w:spacing w:after="80"/>
      <w:jc w:val="right"/>
    </w:pPr>
    <w:r>
      <w:rPr>
        <w:rFonts w:ascii="Arial" w:eastAsia="Arial" w:hAnsi="Arial" w:cs="Arial"/>
        <w:i/>
        <w:iCs/>
        <w:color w:val="595959"/>
        <w:sz w:val="16"/>
        <w:szCs w:val="16"/>
      </w:rPr>
      <w:t>International Journal of Research and Innovation in Applied Sciences (IJRIAS)  |  Volume X, Issue 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970016"/>
    <w:multiLevelType w:val="hybridMultilevel"/>
    <w:tmpl w:val="FFFFFFFF"/>
    <w:lvl w:ilvl="0" w:tplc="F7C85464">
      <w:start w:val="1"/>
      <w:numFmt w:val="bullet"/>
      <w:lvlText w:val="●"/>
      <w:lvlJc w:val="left"/>
      <w:pPr>
        <w:ind w:left="720" w:hanging="360"/>
      </w:pPr>
    </w:lvl>
    <w:lvl w:ilvl="1" w:tplc="F5E0157C">
      <w:start w:val="1"/>
      <w:numFmt w:val="bullet"/>
      <w:lvlText w:val="○"/>
      <w:lvlJc w:val="left"/>
      <w:pPr>
        <w:ind w:left="1440" w:hanging="360"/>
      </w:pPr>
    </w:lvl>
    <w:lvl w:ilvl="2" w:tplc="84E491F2">
      <w:start w:val="1"/>
      <w:numFmt w:val="bullet"/>
      <w:lvlText w:val="■"/>
      <w:lvlJc w:val="left"/>
      <w:pPr>
        <w:ind w:left="2160" w:hanging="360"/>
      </w:pPr>
    </w:lvl>
    <w:lvl w:ilvl="3" w:tplc="74BCAA26">
      <w:start w:val="1"/>
      <w:numFmt w:val="bullet"/>
      <w:lvlText w:val="●"/>
      <w:lvlJc w:val="left"/>
      <w:pPr>
        <w:ind w:left="2880" w:hanging="360"/>
      </w:pPr>
    </w:lvl>
    <w:lvl w:ilvl="4" w:tplc="1206CBF4">
      <w:start w:val="1"/>
      <w:numFmt w:val="bullet"/>
      <w:lvlText w:val="○"/>
      <w:lvlJc w:val="left"/>
      <w:pPr>
        <w:ind w:left="3600" w:hanging="360"/>
      </w:pPr>
    </w:lvl>
    <w:lvl w:ilvl="5" w:tplc="CCC2CF46">
      <w:start w:val="1"/>
      <w:numFmt w:val="bullet"/>
      <w:lvlText w:val="■"/>
      <w:lvlJc w:val="left"/>
      <w:pPr>
        <w:ind w:left="4320" w:hanging="360"/>
      </w:pPr>
    </w:lvl>
    <w:lvl w:ilvl="6" w:tplc="3FECA1B6">
      <w:start w:val="1"/>
      <w:numFmt w:val="bullet"/>
      <w:lvlText w:val="●"/>
      <w:lvlJc w:val="left"/>
      <w:pPr>
        <w:ind w:left="5040" w:hanging="360"/>
      </w:pPr>
    </w:lvl>
    <w:lvl w:ilvl="7" w:tplc="375ADA1E">
      <w:start w:val="1"/>
      <w:numFmt w:val="bullet"/>
      <w:lvlText w:val="●"/>
      <w:lvlJc w:val="left"/>
      <w:pPr>
        <w:ind w:left="5760" w:hanging="360"/>
      </w:pPr>
    </w:lvl>
    <w:lvl w:ilvl="8" w:tplc="5BFE9190">
      <w:start w:val="1"/>
      <w:numFmt w:val="bullet"/>
      <w:lvlText w:val="●"/>
      <w:lvlJc w:val="left"/>
      <w:pPr>
        <w:ind w:left="6480" w:hanging="360"/>
      </w:pPr>
    </w:lvl>
  </w:abstractNum>
  <w:num w:numId="1" w16cid:durableId="13317624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displayBackgroundShape/>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5A7"/>
    <w:rsid w:val="0000200D"/>
    <w:rsid w:val="000352DD"/>
    <w:rsid w:val="000B743B"/>
    <w:rsid w:val="00116553"/>
    <w:rsid w:val="00182696"/>
    <w:rsid w:val="002767DD"/>
    <w:rsid w:val="002C4E29"/>
    <w:rsid w:val="002D57FE"/>
    <w:rsid w:val="002D6744"/>
    <w:rsid w:val="00474E96"/>
    <w:rsid w:val="004C4B6A"/>
    <w:rsid w:val="004F6648"/>
    <w:rsid w:val="00542FE8"/>
    <w:rsid w:val="005660FE"/>
    <w:rsid w:val="00576CF3"/>
    <w:rsid w:val="005A700D"/>
    <w:rsid w:val="00722D4A"/>
    <w:rsid w:val="0076145D"/>
    <w:rsid w:val="007A2084"/>
    <w:rsid w:val="008B68EB"/>
    <w:rsid w:val="008C709E"/>
    <w:rsid w:val="0098766A"/>
    <w:rsid w:val="009F373D"/>
    <w:rsid w:val="00A67EE4"/>
    <w:rsid w:val="00B065B3"/>
    <w:rsid w:val="00BD5AD4"/>
    <w:rsid w:val="00C4627D"/>
    <w:rsid w:val="00D704DE"/>
    <w:rsid w:val="00D76749"/>
    <w:rsid w:val="00EC05A7"/>
    <w:rsid w:val="00F65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BBBD19"/>
  <w15:docId w15:val="{99756C55-E970-6349-9878-7C055DCD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3807</Words>
  <Characters>21705</Characters>
  <Application>Microsoft Office Word</Application>
  <DocSecurity>0</DocSecurity>
  <Lines>180</Lines>
  <Paragraphs>50</Paragraphs>
  <ScaleCrop>false</ScaleCrop>
  <Company/>
  <LinksUpToDate>false</LinksUpToDate>
  <CharactersWithSpaces>25462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doctor hafiza mubashra</cp:lastModifiedBy>
  <cp:revision>2</cp:revision>
  <dcterms:created xsi:type="dcterms:W3CDTF">2026-06-01T12:02:00Z</dcterms:created>
  <dcterms:modified xsi:type="dcterms:W3CDTF">2026-06-01T12:02:00Z</dcterms:modified>
</cp:coreProperties>
</file>