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03247E" w14:textId="77777777" w:rsidR="00A90B5D" w:rsidRPr="00C85373" w:rsidRDefault="00000000">
      <w:pPr>
        <w:pStyle w:val="Heading1"/>
        <w:spacing w:line="317" w:lineRule="auto"/>
        <w:jc w:val="center"/>
        <w:rPr>
          <w:sz w:val="24"/>
          <w:szCs w:val="24"/>
        </w:rPr>
      </w:pPr>
      <w:r w:rsidRPr="00C85373">
        <w:rPr>
          <w:rFonts w:ascii="Inter" w:eastAsia="Inter" w:hAnsi="Inter" w:cs="Inter"/>
          <w:color w:val="2D3748"/>
          <w:sz w:val="58"/>
          <w:szCs w:val="26"/>
        </w:rPr>
        <w:t>Our Story</w:t>
      </w:r>
    </w:p>
    <w:p w14:paraId="249BDF0D" w14:textId="77777777" w:rsidR="00A90B5D" w:rsidRPr="00C85373" w:rsidRDefault="00000000">
      <w:pPr>
        <w:spacing w:before="240" w:after="360" w:line="317" w:lineRule="auto"/>
        <w:jc w:val="center"/>
        <w:rPr>
          <w:sz w:val="21"/>
          <w:szCs w:val="21"/>
        </w:rPr>
      </w:pPr>
      <w:r w:rsidRPr="00C85373">
        <w:rPr>
          <w:rFonts w:ascii="Inter" w:eastAsia="Inter" w:hAnsi="Inter" w:cs="Inter"/>
          <w:color w:val="4A5568"/>
          <w:sz w:val="28"/>
          <w:szCs w:val="20"/>
        </w:rPr>
        <w:t>Empowering growth through human capital and technical excellence.</w:t>
      </w:r>
    </w:p>
    <w:p w14:paraId="0AC8B112" w14:textId="77777777" w:rsidR="00A90B5D" w:rsidRPr="00C85373" w:rsidRDefault="00000000">
      <w:pPr>
        <w:pStyle w:val="Heading2"/>
        <w:pBdr>
          <w:left w:val="single" w:sz="24" w:space="0" w:color="2D3748"/>
        </w:pBdr>
        <w:spacing w:after="360" w:line="317" w:lineRule="auto"/>
        <w:rPr>
          <w:sz w:val="24"/>
          <w:szCs w:val="24"/>
        </w:rPr>
      </w:pPr>
      <w:r w:rsidRPr="00C85373">
        <w:rPr>
          <w:rFonts w:ascii="Inter" w:eastAsia="Inter" w:hAnsi="Inter" w:cs="Inter"/>
          <w:color w:val="2D3748"/>
          <w:sz w:val="34"/>
          <w:szCs w:val="24"/>
        </w:rPr>
        <w:t>The Foundation: Human-Centric Growth</w:t>
      </w:r>
    </w:p>
    <w:p w14:paraId="503DAD9F" w14:textId="7B60FB41" w:rsidR="00A90B5D" w:rsidRPr="00C85373" w:rsidRDefault="00000000">
      <w:pPr>
        <w:spacing w:after="360" w:line="317" w:lineRule="auto"/>
        <w:rPr>
          <w:sz w:val="21"/>
          <w:szCs w:val="21"/>
        </w:rPr>
      </w:pPr>
      <w:r w:rsidRPr="00C85373">
        <w:rPr>
          <w:rFonts w:ascii="Inter" w:eastAsia="Inter" w:hAnsi="Inter" w:cs="Inter"/>
          <w:color w:val="4A5568"/>
          <w:sz w:val="23"/>
          <w:szCs w:val="20"/>
        </w:rPr>
        <w:t xml:space="preserve"> Founded in 20</w:t>
      </w:r>
      <w:r w:rsidR="005404DD" w:rsidRPr="00C85373">
        <w:rPr>
          <w:rFonts w:ascii="Inter" w:eastAsia="Inter" w:hAnsi="Inter" w:cs="Inter"/>
          <w:color w:val="4A5568"/>
          <w:sz w:val="23"/>
          <w:szCs w:val="20"/>
        </w:rPr>
        <w:t>20</w:t>
      </w:r>
      <w:r w:rsidRPr="00C85373">
        <w:rPr>
          <w:rFonts w:ascii="Inter" w:eastAsia="Inter" w:hAnsi="Inter" w:cs="Inter"/>
          <w:color w:val="4A5568"/>
          <w:sz w:val="23"/>
          <w:szCs w:val="20"/>
        </w:rPr>
        <w:t xml:space="preserve">, our journey began with a singular mission: to bridge the critical gap between elite talent and the organizations that need them most. What started as a specialized HR team has evolved into a premier partner for HR augmentation, recognized for our ability to synchronize corporate culture with professional ambition. </w:t>
      </w:r>
    </w:p>
    <w:p w14:paraId="693A7B6F" w14:textId="77777777" w:rsidR="00A90B5D" w:rsidRPr="00C85373" w:rsidRDefault="00000000">
      <w:pPr>
        <w:pStyle w:val="Heading2"/>
        <w:pBdr>
          <w:left w:val="single" w:sz="24" w:space="0" w:color="2D3748"/>
        </w:pBdr>
        <w:spacing w:after="360" w:line="317" w:lineRule="auto"/>
        <w:rPr>
          <w:sz w:val="24"/>
          <w:szCs w:val="24"/>
        </w:rPr>
      </w:pPr>
      <w:r w:rsidRPr="00C85373">
        <w:rPr>
          <w:rFonts w:ascii="Inter" w:eastAsia="Inter" w:hAnsi="Inter" w:cs="Inter"/>
          <w:color w:val="2D3748"/>
          <w:sz w:val="34"/>
          <w:szCs w:val="24"/>
        </w:rPr>
        <w:t>Evolution into IT Consulting</w:t>
      </w:r>
    </w:p>
    <w:p w14:paraId="039E46E4" w14:textId="77777777" w:rsidR="00A90B5D" w:rsidRPr="00C85373" w:rsidRDefault="00000000">
      <w:pPr>
        <w:spacing w:after="360" w:line="317" w:lineRule="auto"/>
        <w:rPr>
          <w:sz w:val="21"/>
          <w:szCs w:val="21"/>
        </w:rPr>
      </w:pPr>
      <w:r w:rsidRPr="00C85373">
        <w:rPr>
          <w:rFonts w:ascii="Inter" w:eastAsia="Inter" w:hAnsi="Inter" w:cs="Inter"/>
          <w:color w:val="4A5568"/>
          <w:sz w:val="23"/>
          <w:szCs w:val="20"/>
        </w:rPr>
        <w:t xml:space="preserve"> As the digital landscape shifted, our clients faced new complexities. We recognized that talent alone wasn't enough; organizations required robust frameworks and modern architecture to sustain growth. This realization drove our natural expansion into high-level IT Consulting. </w:t>
      </w:r>
    </w:p>
    <w:p w14:paraId="6A124C14" w14:textId="77777777" w:rsidR="00A90B5D" w:rsidRPr="00C85373" w:rsidRDefault="00000000">
      <w:pPr>
        <w:spacing w:after="360" w:line="317" w:lineRule="auto"/>
        <w:rPr>
          <w:sz w:val="21"/>
          <w:szCs w:val="21"/>
        </w:rPr>
      </w:pPr>
      <w:r w:rsidRPr="00C85373">
        <w:rPr>
          <w:rFonts w:ascii="Inter" w:eastAsia="Inter" w:hAnsi="Inter" w:cs="Inter"/>
          <w:color w:val="4A5568"/>
          <w:sz w:val="23"/>
          <w:szCs w:val="20"/>
        </w:rPr>
        <w:t xml:space="preserve"> Today, our IT consulting arm operates at the intersection of innovation and practicality. We don't just recommend technology; we integrate it into your business DNA. From legacy system modernization to cloud transformation, we ensure your infrastructure is as agile as the people we place within your teams. </w:t>
      </w:r>
    </w:p>
    <w:tbl>
      <w:tblPr>
        <w:tblW w:w="0" w:type="auto"/>
        <w:jc w:val="center"/>
        <w:tblBorders>
          <w:top w:val="nil"/>
          <w:left w:val="nil"/>
          <w:bottom w:val="nil"/>
          <w:right w:val="nil"/>
          <w:insideH w:val="nil"/>
          <w:insideV w:val="nil"/>
        </w:tblBorders>
        <w:tblLook w:val="04A0" w:firstRow="1" w:lastRow="0" w:firstColumn="1" w:lastColumn="0" w:noHBand="0" w:noVBand="1"/>
      </w:tblPr>
      <w:tblGrid>
        <w:gridCol w:w="10581"/>
      </w:tblGrid>
      <w:tr w:rsidR="00A90B5D" w:rsidRPr="00C85373" w14:paraId="49E6CE72" w14:textId="77777777" w:rsidTr="005404DD">
        <w:trPr>
          <w:trHeight w:val="746"/>
          <w:jc w:val="center"/>
        </w:trPr>
        <w:tc>
          <w:tcPr>
            <w:tcW w:w="10581" w:type="dxa"/>
            <w:tcBorders>
              <w:top w:val="nil"/>
              <w:left w:val="single" w:sz="24" w:space="0" w:color="2D3748"/>
              <w:bottom w:val="nil"/>
              <w:right w:val="nil"/>
            </w:tcBorders>
            <w:shd w:val="clear" w:color="auto" w:fill="F4F6F8"/>
            <w:tcMar>
              <w:top w:w="360" w:type="dxa"/>
              <w:left w:w="360" w:type="dxa"/>
              <w:bottom w:w="360" w:type="dxa"/>
              <w:right w:w="360" w:type="dxa"/>
            </w:tcMar>
          </w:tcPr>
          <w:p w14:paraId="5AFD7E65" w14:textId="74175D1C" w:rsidR="005404DD" w:rsidRPr="00C85373" w:rsidRDefault="00000000">
            <w:pPr>
              <w:rPr>
                <w:rFonts w:ascii="Inter" w:eastAsia="Inter" w:hAnsi="Inter" w:cs="Inter"/>
                <w:i/>
                <w:color w:val="1A202C"/>
                <w:sz w:val="20"/>
                <w:szCs w:val="20"/>
              </w:rPr>
            </w:pPr>
            <w:r w:rsidRPr="00C85373">
              <w:rPr>
                <w:rFonts w:ascii="Inter" w:eastAsia="Inter" w:hAnsi="Inter" w:cs="Inter"/>
                <w:i/>
                <w:color w:val="1A202C"/>
                <w:sz w:val="20"/>
                <w:szCs w:val="20"/>
              </w:rPr>
              <w:t>"Our approach integrates the human element of HR with the precision of IT, creating a holistic ecosystem where technology serves the workforce, not the other way around."</w:t>
            </w:r>
          </w:p>
        </w:tc>
      </w:tr>
    </w:tbl>
    <w:p w14:paraId="59888900" w14:textId="77777777" w:rsidR="005404DD" w:rsidRPr="00C85373" w:rsidRDefault="005404DD" w:rsidP="005404DD">
      <w:pPr>
        <w:rPr>
          <w:sz w:val="21"/>
          <w:szCs w:val="21"/>
        </w:rPr>
      </w:pPr>
    </w:p>
    <w:p w14:paraId="408E06F5" w14:textId="77777777" w:rsidR="00C85373" w:rsidRPr="00C85373" w:rsidRDefault="00C85373" w:rsidP="00C85373">
      <w:pPr>
        <w:pStyle w:val="Heading2"/>
        <w:pBdr>
          <w:left w:val="single" w:sz="24" w:space="0" w:color="2D3748"/>
        </w:pBdr>
        <w:spacing w:after="360" w:line="317" w:lineRule="auto"/>
        <w:rPr>
          <w:rFonts w:ascii="Inter" w:eastAsia="Inter" w:hAnsi="Inter" w:cs="Inter"/>
          <w:color w:val="2D3748"/>
          <w:sz w:val="34"/>
          <w:szCs w:val="24"/>
        </w:rPr>
      </w:pPr>
    </w:p>
    <w:p w14:paraId="0BF9A6AA" w14:textId="037B7445" w:rsidR="00C85373" w:rsidRPr="00C85373" w:rsidRDefault="00C85373" w:rsidP="00C85373">
      <w:pPr>
        <w:pStyle w:val="Heading2"/>
        <w:pBdr>
          <w:left w:val="single" w:sz="24" w:space="0" w:color="2D3748"/>
        </w:pBdr>
        <w:spacing w:after="360" w:line="317" w:lineRule="auto"/>
        <w:rPr>
          <w:rFonts w:ascii="Inter" w:eastAsia="Inter" w:hAnsi="Inter" w:cs="Inter"/>
          <w:color w:val="2D3748"/>
          <w:sz w:val="34"/>
          <w:szCs w:val="24"/>
        </w:rPr>
      </w:pPr>
      <w:r w:rsidRPr="00C85373">
        <w:rPr>
          <w:rFonts w:ascii="Inter" w:eastAsia="Inter" w:hAnsi="Inter" w:cs="Inter"/>
          <w:color w:val="2D3748"/>
          <w:sz w:val="34"/>
          <w:szCs w:val="24"/>
        </w:rPr>
        <w:t>A Unified Vision for 2026 and Beyond</w:t>
      </w:r>
    </w:p>
    <w:p w14:paraId="59546F19" w14:textId="77777777" w:rsidR="00C85373" w:rsidRPr="00C85373" w:rsidRDefault="00C85373" w:rsidP="00C85373">
      <w:pPr>
        <w:spacing w:after="360" w:line="317" w:lineRule="auto"/>
        <w:rPr>
          <w:sz w:val="21"/>
          <w:szCs w:val="21"/>
        </w:rPr>
      </w:pPr>
      <w:r w:rsidRPr="00C85373">
        <w:rPr>
          <w:rFonts w:ascii="Inter" w:eastAsia="Inter" w:hAnsi="Inter" w:cs="Inter"/>
          <w:color w:val="4A5568"/>
          <w:sz w:val="23"/>
          <w:szCs w:val="20"/>
        </w:rPr>
        <w:t xml:space="preserve"> By combining HR augmentation with deep technical consulting, we provide a </w:t>
      </w:r>
      <w:proofErr w:type="gramStart"/>
      <w:r w:rsidRPr="00C85373">
        <w:rPr>
          <w:rFonts w:ascii="Inter" w:eastAsia="Inter" w:hAnsi="Inter" w:cs="Inter"/>
          <w:color w:val="4A5568"/>
          <w:sz w:val="23"/>
          <w:szCs w:val="20"/>
        </w:rPr>
        <w:t>dual-engine</w:t>
      </w:r>
      <w:proofErr w:type="gramEnd"/>
      <w:r w:rsidRPr="00C85373">
        <w:rPr>
          <w:rFonts w:ascii="Inter" w:eastAsia="Inter" w:hAnsi="Inter" w:cs="Inter"/>
          <w:color w:val="4A5568"/>
          <w:sz w:val="23"/>
          <w:szCs w:val="20"/>
        </w:rPr>
        <w:t xml:space="preserve"> for corporate success. We reject the "one-size-fits-all" mentality, instead delivering precision-engineered solutions that drive operational excellence. Our legacy is built on enduring partnerships and the measurable impact we create for clients navigating an ever-evolving global market. </w:t>
      </w:r>
    </w:p>
    <w:p w14:paraId="17A42178" w14:textId="77777777" w:rsidR="005404DD" w:rsidRPr="00C85373" w:rsidRDefault="005404DD" w:rsidP="005404DD">
      <w:pPr>
        <w:pStyle w:val="Heading1"/>
        <w:pBdr>
          <w:bottom w:val="single" w:sz="18" w:space="8" w:color="3498DB"/>
        </w:pBdr>
        <w:rPr>
          <w:color w:val="0056B3"/>
          <w:spacing w:val="-5"/>
          <w:sz w:val="24"/>
          <w:szCs w:val="24"/>
        </w:rPr>
      </w:pPr>
    </w:p>
    <w:p w14:paraId="16CCB6C5" w14:textId="6D05D162" w:rsidR="005404DD" w:rsidRPr="00C85373" w:rsidRDefault="005404DD" w:rsidP="005404DD">
      <w:pPr>
        <w:pStyle w:val="Heading1"/>
        <w:pBdr>
          <w:bottom w:val="single" w:sz="18" w:space="8" w:color="3498DB"/>
        </w:pBdr>
        <w:rPr>
          <w:color w:val="000000" w:themeColor="text1"/>
          <w:spacing w:val="-5"/>
          <w:sz w:val="24"/>
          <w:szCs w:val="24"/>
        </w:rPr>
      </w:pPr>
      <w:r w:rsidRPr="00C85373">
        <w:rPr>
          <w:color w:val="000000" w:themeColor="text1"/>
          <w:spacing w:val="-5"/>
          <w:sz w:val="24"/>
          <w:szCs w:val="24"/>
        </w:rPr>
        <w:t xml:space="preserve">Strategic IT Consulting Services </w:t>
      </w:r>
    </w:p>
    <w:p w14:paraId="468C4F79" w14:textId="77777777" w:rsidR="005404DD" w:rsidRPr="00C85373" w:rsidRDefault="005404DD" w:rsidP="005404DD">
      <w:pPr>
        <w:pStyle w:val="intro-lead"/>
        <w:rPr>
          <w:i/>
          <w:iCs/>
          <w:color w:val="4A5568"/>
          <w:sz w:val="22"/>
          <w:szCs w:val="22"/>
        </w:rPr>
      </w:pPr>
      <w:r w:rsidRPr="00C85373">
        <w:rPr>
          <w:i/>
          <w:iCs/>
          <w:color w:val="4A5568"/>
          <w:sz w:val="22"/>
          <w:szCs w:val="22"/>
        </w:rPr>
        <w:t>Leveraging IT strategy to maximize the synergy between workforce augmentation and core technology infrastructure.</w:t>
      </w:r>
    </w:p>
    <w:p w14:paraId="720E129C" w14:textId="43A16D07" w:rsidR="005404DD" w:rsidRDefault="005404DD" w:rsidP="00C24AE3">
      <w:pPr>
        <w:pStyle w:val="service-item"/>
        <w:numPr>
          <w:ilvl w:val="0"/>
          <w:numId w:val="11"/>
        </w:numPr>
        <w:pBdr>
          <w:top w:val="single" w:sz="6" w:space="0" w:color="E2E8F0"/>
          <w:left w:val="single" w:sz="6" w:space="0" w:color="E2E8F0"/>
          <w:bottom w:val="single" w:sz="6" w:space="0" w:color="E2E8F0"/>
          <w:right w:val="single" w:sz="6" w:space="0" w:color="E2E8F0"/>
        </w:pBdr>
        <w:rPr>
          <w:rStyle w:val="service-name"/>
          <w:b/>
          <w:bCs/>
          <w:color w:val="000000" w:themeColor="text1"/>
          <w:sz w:val="22"/>
          <w:szCs w:val="22"/>
        </w:rPr>
      </w:pPr>
      <w:r w:rsidRPr="00C85373">
        <w:rPr>
          <w:rStyle w:val="service-name"/>
          <w:b/>
          <w:bCs/>
          <w:color w:val="000000" w:themeColor="text1"/>
          <w:sz w:val="22"/>
          <w:szCs w:val="22"/>
        </w:rPr>
        <w:t>Digital</w:t>
      </w:r>
      <w:r w:rsidR="00C24AE3">
        <w:rPr>
          <w:rStyle w:val="service-name"/>
          <w:b/>
          <w:bCs/>
          <w:color w:val="000000" w:themeColor="text1"/>
          <w:sz w:val="22"/>
          <w:szCs w:val="22"/>
        </w:rPr>
        <w:t xml:space="preserve"> Transformation</w:t>
      </w:r>
    </w:p>
    <w:p w14:paraId="4714537B" w14:textId="2ED23DBE" w:rsidR="00C24AE3" w:rsidRDefault="00C24AE3" w:rsidP="00C24AE3">
      <w:pPr>
        <w:pStyle w:val="Heading3"/>
        <w:rPr>
          <w:rFonts w:ascii="Times" w:hAnsi="Times" w:hint="eastAsia"/>
          <w:color w:val="000000"/>
          <w:spacing w:val="-6"/>
        </w:rPr>
      </w:pPr>
      <w:r>
        <w:rPr>
          <w:rFonts w:ascii="Times" w:hAnsi="Times"/>
          <w:color w:val="000000"/>
          <w:spacing w:val="-6"/>
        </w:rPr>
        <w:t>Digital Transformation</w:t>
      </w:r>
    </w:p>
    <w:p w14:paraId="71D3742A" w14:textId="0C998C2E" w:rsidR="00C24AE3" w:rsidRDefault="00C24AE3" w:rsidP="00C24AE3">
      <w:pPr>
        <w:pStyle w:val="NormalWeb"/>
        <w:rPr>
          <w:rFonts w:ascii="Times" w:hAnsi="Times"/>
          <w:color w:val="000000"/>
        </w:rPr>
      </w:pPr>
      <w:r>
        <w:rPr>
          <w:rFonts w:ascii="Times" w:hAnsi="Times"/>
          <w:b/>
          <w:bCs/>
          <w:color w:val="000000"/>
          <w:bdr w:val="none" w:sz="0" w:space="0" w:color="auto" w:frame="1"/>
        </w:rPr>
        <w:t>Main page-</w:t>
      </w:r>
      <w:r>
        <w:rPr>
          <w:rFonts w:ascii="Times" w:hAnsi="Times"/>
          <w:color w:val="000000"/>
        </w:rPr>
        <w:br/>
        <w:t>Guiding organizations to strategically adopt new digital technologies for fundamental operational and cultural restructuring.</w:t>
      </w:r>
    </w:p>
    <w:p w14:paraId="581C7155" w14:textId="6036A0C8" w:rsidR="00C24AE3" w:rsidRDefault="00C24AE3" w:rsidP="00C24AE3">
      <w:pPr>
        <w:pStyle w:val="NormalWeb"/>
        <w:rPr>
          <w:rFonts w:ascii="Times" w:hAnsi="Times"/>
          <w:color w:val="000000"/>
        </w:rPr>
      </w:pPr>
      <w:r>
        <w:rPr>
          <w:rFonts w:ascii="Times" w:hAnsi="Times"/>
          <w:b/>
          <w:bCs/>
          <w:color w:val="000000"/>
          <w:bdr w:val="none" w:sz="0" w:space="0" w:color="auto" w:frame="1"/>
        </w:rPr>
        <w:t>New page-</w:t>
      </w:r>
      <w:r>
        <w:rPr>
          <w:rFonts w:ascii="Times" w:hAnsi="Times"/>
          <w:color w:val="000000"/>
        </w:rPr>
        <w:br/>
        <w:t xml:space="preserve">Digital transformation consulting involves expert guidance for enterprises seeking to fundamentally reimagine business models, processes, and customer experiences through technology adoption. Consultants </w:t>
      </w:r>
      <w:proofErr w:type="spellStart"/>
      <w:r>
        <w:rPr>
          <w:rFonts w:ascii="Times" w:hAnsi="Times"/>
          <w:color w:val="000000"/>
        </w:rPr>
        <w:t>analyze</w:t>
      </w:r>
      <w:proofErr w:type="spellEnd"/>
      <w:r>
        <w:rPr>
          <w:rFonts w:ascii="Times" w:hAnsi="Times"/>
          <w:color w:val="000000"/>
        </w:rPr>
        <w:t xml:space="preserve"> current operational maturity and develop actionable roadmaps prioritizing scalability, efficiency, and innovation. This service ensures cohesive integration of modern digital capabilities across the entire organizational structure, aligning technology strategy directly with long-term business objectives and competitive advantage realization.</w:t>
      </w:r>
    </w:p>
    <w:p w14:paraId="38E1A5C6" w14:textId="77777777" w:rsidR="00C24AE3" w:rsidRPr="00C85373" w:rsidRDefault="00C24AE3" w:rsidP="00C24AE3">
      <w:pPr>
        <w:pStyle w:val="service-item"/>
        <w:pBdr>
          <w:top w:val="single" w:sz="6" w:space="0" w:color="E2E8F0"/>
          <w:left w:val="single" w:sz="6" w:space="0" w:color="E2E8F0"/>
          <w:bottom w:val="single" w:sz="6" w:space="0" w:color="E2E8F0"/>
          <w:right w:val="single" w:sz="6" w:space="0" w:color="E2E8F0"/>
        </w:pBdr>
        <w:ind w:left="1080"/>
        <w:rPr>
          <w:color w:val="000000" w:themeColor="text1"/>
          <w:sz w:val="22"/>
          <w:szCs w:val="22"/>
        </w:rPr>
      </w:pPr>
    </w:p>
    <w:p w14:paraId="39453451" w14:textId="44A60FC5" w:rsidR="005404DD" w:rsidRDefault="005404DD" w:rsidP="00C24AE3">
      <w:pPr>
        <w:pStyle w:val="service-item"/>
        <w:numPr>
          <w:ilvl w:val="0"/>
          <w:numId w:val="11"/>
        </w:numPr>
        <w:pBdr>
          <w:top w:val="single" w:sz="6" w:space="0" w:color="E2E8F0"/>
          <w:left w:val="single" w:sz="6" w:space="0" w:color="E2E8F0"/>
          <w:bottom w:val="single" w:sz="6" w:space="0" w:color="E2E8F0"/>
          <w:right w:val="single" w:sz="6" w:space="0" w:color="E2E8F0"/>
        </w:pBdr>
        <w:rPr>
          <w:rStyle w:val="service-name"/>
          <w:b/>
          <w:bCs/>
          <w:color w:val="000000" w:themeColor="text1"/>
          <w:sz w:val="22"/>
          <w:szCs w:val="22"/>
        </w:rPr>
      </w:pPr>
      <w:r w:rsidRPr="00C85373">
        <w:rPr>
          <w:rStyle w:val="service-name"/>
          <w:b/>
          <w:bCs/>
          <w:color w:val="000000" w:themeColor="text1"/>
          <w:sz w:val="22"/>
          <w:szCs w:val="22"/>
        </w:rPr>
        <w:t>IT (GRC) Audit</w:t>
      </w:r>
    </w:p>
    <w:p w14:paraId="6C66F3DB" w14:textId="735DBD7B" w:rsidR="00C24AE3" w:rsidRPr="00305398" w:rsidRDefault="00C24AE3" w:rsidP="00305398">
      <w:pPr>
        <w:pStyle w:val="NormalWeb"/>
        <w:rPr>
          <w:rFonts w:ascii="Times" w:hAnsi="Times"/>
          <w:b/>
          <w:bCs/>
          <w:color w:val="000000"/>
          <w:bdr w:val="none" w:sz="0" w:space="0" w:color="auto" w:frame="1"/>
        </w:rPr>
      </w:pPr>
      <w:r w:rsidRPr="00305398">
        <w:rPr>
          <w:rFonts w:ascii="Times" w:hAnsi="Times"/>
          <w:b/>
          <w:bCs/>
          <w:color w:val="000000"/>
          <w:bdr w:val="none" w:sz="0" w:space="0" w:color="auto" w:frame="1"/>
        </w:rPr>
        <w:t>Main Page-</w:t>
      </w:r>
    </w:p>
    <w:p w14:paraId="2EF4E217" w14:textId="77777777" w:rsidR="005404DD" w:rsidRPr="00305398" w:rsidRDefault="005404DD" w:rsidP="00305398">
      <w:pPr>
        <w:pStyle w:val="NormalWeb"/>
        <w:rPr>
          <w:rFonts w:ascii="Times" w:hAnsi="Times"/>
          <w:color w:val="000000"/>
          <w:bdr w:val="none" w:sz="0" w:space="0" w:color="auto" w:frame="1"/>
        </w:rPr>
      </w:pPr>
      <w:r w:rsidRPr="00305398">
        <w:rPr>
          <w:rFonts w:ascii="Times" w:hAnsi="Times"/>
          <w:color w:val="000000"/>
          <w:bdr w:val="none" w:sz="0" w:space="0" w:color="auto" w:frame="1"/>
        </w:rPr>
        <w:t>Comprehensive assessment of IT controls, system maturity, and technical debt against emerging regulatory landscapes (including AI governance standards), ensuring proactive audit readiness and risk quantification.</w:t>
      </w:r>
    </w:p>
    <w:p w14:paraId="68FC94A5" w14:textId="3D306E56" w:rsidR="00C24AE3" w:rsidRPr="00305398" w:rsidRDefault="00305398" w:rsidP="00305398">
      <w:pPr>
        <w:pStyle w:val="NormalWeb"/>
        <w:rPr>
          <w:rFonts w:ascii="Times" w:hAnsi="Times"/>
          <w:b/>
          <w:bCs/>
          <w:color w:val="000000"/>
          <w:bdr w:val="none" w:sz="0" w:space="0" w:color="auto" w:frame="1"/>
        </w:rPr>
      </w:pPr>
      <w:r w:rsidRPr="00305398">
        <w:rPr>
          <w:rFonts w:ascii="Times" w:hAnsi="Times"/>
          <w:b/>
          <w:bCs/>
          <w:color w:val="000000"/>
          <w:bdr w:val="none" w:sz="0" w:space="0" w:color="auto" w:frame="1"/>
        </w:rPr>
        <w:t>New Page -</w:t>
      </w:r>
    </w:p>
    <w:p w14:paraId="39AB69E8" w14:textId="6E3B035A" w:rsidR="00C24AE3" w:rsidRPr="00305398" w:rsidRDefault="00C24AE3" w:rsidP="00305398">
      <w:pPr>
        <w:pStyle w:val="NormalWeb"/>
        <w:rPr>
          <w:rFonts w:ascii="Times" w:hAnsi="Times"/>
          <w:color w:val="000000"/>
          <w:bdr w:val="none" w:sz="0" w:space="0" w:color="auto" w:frame="1"/>
        </w:rPr>
      </w:pPr>
      <w:r w:rsidRPr="00305398">
        <w:rPr>
          <w:rFonts w:ascii="Times" w:hAnsi="Times"/>
          <w:color w:val="000000"/>
          <w:bdr w:val="none" w:sz="0" w:space="0" w:color="auto" w:frame="1"/>
        </w:rPr>
        <w:t>An IT GRC audit is a systematic assessment focusing on the organization's information technology landscape. Its purpose is to evaluate the effectiveness of IT governance structures, risk management frameworks, and internal controls. The scope involves scrutinizing IT policies, operational procedures, and risk mitigation strategies for soundness. Crucially, it verifies adherence to external regulatory mandates and established industry compliance standards.</w:t>
      </w:r>
      <w:r w:rsidRPr="00305398">
        <w:rPr>
          <w:rFonts w:ascii="Times" w:hAnsi="Times"/>
          <w:color w:val="000000"/>
          <w:bdr w:val="none" w:sz="0" w:space="0" w:color="auto" w:frame="1"/>
        </w:rPr>
        <w:br/>
        <w:t>The audit ultimately aims to identify vulnerabilities and weaknesses within the control environment for remediation. This process ensures IT alignment supports broader organizational governance and strategic objectives.</w:t>
      </w:r>
    </w:p>
    <w:p w14:paraId="03925DF5" w14:textId="17399D42" w:rsidR="005404DD" w:rsidRPr="00C85373" w:rsidRDefault="00C24AE3" w:rsidP="005404DD">
      <w:pPr>
        <w:pStyle w:val="service-item"/>
        <w:pBdr>
          <w:top w:val="single" w:sz="6" w:space="0" w:color="E2E8F0"/>
          <w:left w:val="single" w:sz="6" w:space="0" w:color="E2E8F0"/>
          <w:bottom w:val="single" w:sz="6" w:space="0" w:color="E2E8F0"/>
          <w:right w:val="single" w:sz="6" w:space="0" w:color="E2E8F0"/>
        </w:pBdr>
        <w:ind w:left="720"/>
        <w:rPr>
          <w:color w:val="000000" w:themeColor="text1"/>
          <w:sz w:val="22"/>
          <w:szCs w:val="22"/>
        </w:rPr>
      </w:pPr>
      <w:r>
        <w:rPr>
          <w:rStyle w:val="service-name"/>
          <w:b/>
          <w:bCs/>
          <w:color w:val="000000" w:themeColor="text1"/>
          <w:sz w:val="22"/>
          <w:szCs w:val="22"/>
        </w:rPr>
        <w:t>3</w:t>
      </w:r>
      <w:r w:rsidR="005404DD" w:rsidRPr="00C85373">
        <w:rPr>
          <w:rStyle w:val="service-name"/>
          <w:b/>
          <w:bCs/>
          <w:color w:val="000000" w:themeColor="text1"/>
          <w:sz w:val="22"/>
          <w:szCs w:val="22"/>
        </w:rPr>
        <w:t>. Technology Modernization</w:t>
      </w:r>
    </w:p>
    <w:p w14:paraId="1FCE30BE" w14:textId="01B9D1A3" w:rsidR="00305398" w:rsidRDefault="00305398" w:rsidP="00305398">
      <w:pPr>
        <w:pStyle w:val="editor-empty-block"/>
        <w:rPr>
          <w:rFonts w:ascii="Times" w:hAnsi="Times"/>
          <w:color w:val="000000"/>
        </w:rPr>
      </w:pPr>
      <w:r w:rsidRPr="00305398">
        <w:rPr>
          <w:rFonts w:ascii="Times" w:hAnsi="Times"/>
          <w:b/>
          <w:bCs/>
          <w:color w:val="000000"/>
        </w:rPr>
        <w:t>Main Page-</w:t>
      </w:r>
      <w:r>
        <w:rPr>
          <w:rFonts w:ascii="Times" w:hAnsi="Times"/>
          <w:color w:val="000000"/>
        </w:rPr>
        <w:br/>
        <w:t>Technology modernization consulting guides organizations in strategically updating legacy systems, infrastructure, and processes for enhanced performance and future relevance.</w:t>
      </w:r>
    </w:p>
    <w:p w14:paraId="44309DFF" w14:textId="1E585138" w:rsidR="00305398" w:rsidRDefault="00305398" w:rsidP="00305398">
      <w:pPr>
        <w:pStyle w:val="editor-empty-block"/>
        <w:rPr>
          <w:rFonts w:ascii="Times" w:hAnsi="Times"/>
          <w:color w:val="000000"/>
        </w:rPr>
      </w:pPr>
      <w:r w:rsidRPr="00305398">
        <w:rPr>
          <w:rFonts w:ascii="Times" w:hAnsi="Times"/>
          <w:b/>
          <w:bCs/>
          <w:color w:val="000000"/>
        </w:rPr>
        <w:lastRenderedPageBreak/>
        <w:t>New Page-</w:t>
      </w:r>
      <w:r>
        <w:rPr>
          <w:rFonts w:ascii="Times" w:hAnsi="Times"/>
          <w:color w:val="000000"/>
        </w:rPr>
        <w:br/>
        <w:t>Technology modernization consulting involves strategic advisory services focused on evolving core IT landscapes. This practice assesses current infrastructure, identifies technical debt, and designs roadmaps for adopting advanced, scalable platforms. Consultants direct the phased migration from outdated systems to modern, cloud-native, or resilient architectures. The primary objective is aligning technological capabilities with long-term business strategy and operational efficiency goals. This ensures agility, reduces operational risk, and supports future innovation capacity.</w:t>
      </w:r>
    </w:p>
    <w:p w14:paraId="78F857E0" w14:textId="77777777" w:rsidR="00C85373" w:rsidRDefault="00C85373" w:rsidP="00C85373">
      <w:pPr>
        <w:spacing w:after="360" w:line="317" w:lineRule="auto"/>
        <w:rPr>
          <w:rFonts w:ascii="Inter" w:eastAsia="Inter" w:hAnsi="Inter" w:cs="Inter"/>
          <w:color w:val="A0AEC0"/>
          <w:sz w:val="19"/>
          <w:szCs w:val="20"/>
        </w:rPr>
      </w:pPr>
    </w:p>
    <w:p w14:paraId="02A9FD68" w14:textId="77777777" w:rsidR="00C85373" w:rsidRDefault="00C85373" w:rsidP="00C85373">
      <w:pPr>
        <w:spacing w:after="360" w:line="317" w:lineRule="auto"/>
        <w:rPr>
          <w:rFonts w:ascii="Inter" w:eastAsia="Inter" w:hAnsi="Inter" w:cs="Inter"/>
          <w:color w:val="A0AEC0"/>
          <w:sz w:val="19"/>
          <w:szCs w:val="20"/>
        </w:rPr>
      </w:pPr>
    </w:p>
    <w:p w14:paraId="42937B88" w14:textId="77777777" w:rsidR="00C85373" w:rsidRDefault="00C85373" w:rsidP="00C85373">
      <w:pPr>
        <w:jc w:val="center"/>
        <w:rPr>
          <w:rStyle w:val="label"/>
          <w:b/>
          <w:bCs/>
          <w:caps/>
          <w:color w:val="0056B3"/>
          <w:spacing w:val="36"/>
          <w:sz w:val="32"/>
          <w:szCs w:val="32"/>
        </w:rPr>
      </w:pPr>
    </w:p>
    <w:p w14:paraId="4FC4D8BC" w14:textId="77777777" w:rsidR="00C85373" w:rsidRDefault="00C85373" w:rsidP="00C85373">
      <w:pPr>
        <w:jc w:val="center"/>
        <w:rPr>
          <w:rStyle w:val="label"/>
          <w:b/>
          <w:bCs/>
          <w:caps/>
          <w:color w:val="0056B3"/>
          <w:spacing w:val="36"/>
          <w:sz w:val="32"/>
          <w:szCs w:val="32"/>
        </w:rPr>
      </w:pPr>
    </w:p>
    <w:p w14:paraId="2B6D2733" w14:textId="77777777" w:rsidR="00C85373" w:rsidRDefault="00C85373" w:rsidP="00C85373">
      <w:pPr>
        <w:jc w:val="center"/>
        <w:rPr>
          <w:rStyle w:val="label"/>
          <w:b/>
          <w:bCs/>
          <w:caps/>
          <w:color w:val="0056B3"/>
          <w:spacing w:val="36"/>
          <w:sz w:val="32"/>
          <w:szCs w:val="32"/>
        </w:rPr>
      </w:pPr>
    </w:p>
    <w:p w14:paraId="437A4FED" w14:textId="77777777" w:rsidR="00C85373" w:rsidRDefault="00C85373" w:rsidP="00C85373">
      <w:pPr>
        <w:jc w:val="center"/>
        <w:rPr>
          <w:rStyle w:val="label"/>
          <w:b/>
          <w:bCs/>
          <w:caps/>
          <w:color w:val="0056B3"/>
          <w:spacing w:val="36"/>
          <w:sz w:val="32"/>
          <w:szCs w:val="32"/>
        </w:rPr>
      </w:pPr>
    </w:p>
    <w:p w14:paraId="5F6D7591" w14:textId="77777777" w:rsidR="00C85373" w:rsidRDefault="00C85373" w:rsidP="00C85373">
      <w:pPr>
        <w:jc w:val="center"/>
        <w:rPr>
          <w:rStyle w:val="label"/>
          <w:b/>
          <w:bCs/>
          <w:caps/>
          <w:color w:val="0056B3"/>
          <w:spacing w:val="36"/>
          <w:sz w:val="32"/>
          <w:szCs w:val="32"/>
        </w:rPr>
      </w:pPr>
    </w:p>
    <w:p w14:paraId="24C88347" w14:textId="77777777" w:rsidR="00C85373" w:rsidRDefault="00C85373" w:rsidP="00C85373">
      <w:pPr>
        <w:jc w:val="center"/>
        <w:rPr>
          <w:rStyle w:val="label"/>
          <w:b/>
          <w:bCs/>
          <w:caps/>
          <w:color w:val="0056B3"/>
          <w:spacing w:val="36"/>
          <w:sz w:val="32"/>
          <w:szCs w:val="32"/>
        </w:rPr>
      </w:pPr>
    </w:p>
    <w:p w14:paraId="10B2DDF7" w14:textId="77777777" w:rsidR="00C85373" w:rsidRDefault="00C85373" w:rsidP="00C85373">
      <w:pPr>
        <w:jc w:val="center"/>
        <w:rPr>
          <w:rStyle w:val="label"/>
          <w:b/>
          <w:bCs/>
          <w:caps/>
          <w:color w:val="0056B3"/>
          <w:spacing w:val="36"/>
          <w:sz w:val="32"/>
          <w:szCs w:val="32"/>
        </w:rPr>
      </w:pPr>
    </w:p>
    <w:p w14:paraId="6BE0AC29" w14:textId="77777777" w:rsidR="00C85373" w:rsidRDefault="00C85373" w:rsidP="00C85373">
      <w:pPr>
        <w:jc w:val="center"/>
        <w:rPr>
          <w:rStyle w:val="label"/>
          <w:b/>
          <w:bCs/>
          <w:caps/>
          <w:color w:val="0056B3"/>
          <w:spacing w:val="36"/>
          <w:sz w:val="32"/>
          <w:szCs w:val="32"/>
        </w:rPr>
      </w:pPr>
    </w:p>
    <w:p w14:paraId="3A05B791" w14:textId="38FA0D65" w:rsidR="00C85373" w:rsidRDefault="00C85373" w:rsidP="00C85373">
      <w:pPr>
        <w:jc w:val="center"/>
        <w:rPr>
          <w:rStyle w:val="label"/>
          <w:b/>
          <w:bCs/>
          <w:caps/>
          <w:color w:val="0056B3"/>
          <w:spacing w:val="36"/>
          <w:sz w:val="32"/>
          <w:szCs w:val="32"/>
        </w:rPr>
      </w:pPr>
      <w:r w:rsidRPr="00C85373">
        <w:rPr>
          <w:rStyle w:val="label"/>
          <w:b/>
          <w:bCs/>
          <w:caps/>
          <w:color w:val="0056B3"/>
          <w:spacing w:val="36"/>
          <w:sz w:val="32"/>
          <w:szCs w:val="32"/>
        </w:rPr>
        <w:t>Our Mission</w:t>
      </w:r>
    </w:p>
    <w:p w14:paraId="791E04B2" w14:textId="77777777" w:rsidR="00C85373" w:rsidRPr="00C85373" w:rsidRDefault="00C85373" w:rsidP="00C85373">
      <w:pPr>
        <w:jc w:val="center"/>
        <w:rPr>
          <w:sz w:val="32"/>
          <w:szCs w:val="32"/>
        </w:rPr>
      </w:pPr>
    </w:p>
    <w:p w14:paraId="085FF764" w14:textId="77777777" w:rsidR="00C85373" w:rsidRDefault="00C85373" w:rsidP="00C85373">
      <w:pPr>
        <w:pStyle w:val="Heading1"/>
        <w:spacing w:before="0"/>
        <w:rPr>
          <w:color w:val="1A202C"/>
          <w:spacing w:val="-7"/>
        </w:rPr>
      </w:pPr>
      <w:r>
        <w:rPr>
          <w:color w:val="1A202C"/>
          <w:spacing w:val="-7"/>
        </w:rPr>
        <w:t>Driving Corporate Evolution Through Talent &amp; Technology</w:t>
      </w:r>
    </w:p>
    <w:p w14:paraId="64A27644" w14:textId="77777777" w:rsidR="00C85373" w:rsidRDefault="00C85373" w:rsidP="00C85373">
      <w:pPr>
        <w:pStyle w:val="NormalWeb"/>
        <w:shd w:val="clear" w:color="auto" w:fill="EEF4FF"/>
        <w:spacing w:before="0" w:beforeAutospacing="0" w:after="0" w:afterAutospacing="0"/>
        <w:jc w:val="both"/>
        <w:rPr>
          <w:rFonts w:ascii="Outfit" w:hAnsi="Outfit"/>
          <w:color w:val="0056B3"/>
          <w:sz w:val="23"/>
          <w:szCs w:val="23"/>
        </w:rPr>
      </w:pPr>
      <w:r>
        <w:rPr>
          <w:rFonts w:ascii="Outfit" w:hAnsi="Outfit"/>
          <w:color w:val="0056B3"/>
          <w:sz w:val="23"/>
          <w:szCs w:val="23"/>
        </w:rPr>
        <w:t>To empower global organizations by bridging the gap between ambitious business objectives and elite technical expertise through scalable, precision-engineered workforce solutions.</w:t>
      </w:r>
    </w:p>
    <w:p w14:paraId="479FFEB9" w14:textId="77777777" w:rsidR="00C85373" w:rsidRDefault="00C85373" w:rsidP="00C85373">
      <w:pPr>
        <w:pStyle w:val="Heading3"/>
        <w:rPr>
          <w:rFonts w:ascii="Times New Roman" w:hAnsi="Times New Roman"/>
          <w:color w:val="1A202C"/>
          <w:sz w:val="27"/>
          <w:szCs w:val="27"/>
        </w:rPr>
      </w:pPr>
      <w:r>
        <w:rPr>
          <w:color w:val="1A202C"/>
        </w:rPr>
        <w:t>Strategic Empowerment</w:t>
      </w:r>
    </w:p>
    <w:p w14:paraId="5FFBC7E3" w14:textId="77777777" w:rsidR="00C85373" w:rsidRDefault="00C85373" w:rsidP="00C85373">
      <w:pPr>
        <w:pStyle w:val="NormalWeb"/>
        <w:spacing w:before="0" w:beforeAutospacing="0" w:after="0" w:afterAutospacing="0"/>
        <w:rPr>
          <w:color w:val="4A5568"/>
        </w:rPr>
      </w:pPr>
      <w:r>
        <w:rPr>
          <w:color w:val="4A5568"/>
        </w:rPr>
        <w:t>We provide the high-impact talent and IT frameworks necessary for organizations to scale efficiently and dominate their markets.</w:t>
      </w:r>
    </w:p>
    <w:p w14:paraId="593030A5" w14:textId="77777777" w:rsidR="00C85373" w:rsidRDefault="00C85373" w:rsidP="00C85373">
      <w:pPr>
        <w:pStyle w:val="Heading3"/>
        <w:rPr>
          <w:color w:val="1A202C"/>
        </w:rPr>
      </w:pPr>
      <w:r>
        <w:rPr>
          <w:color w:val="1A202C"/>
        </w:rPr>
        <w:t>Professional Advancement</w:t>
      </w:r>
    </w:p>
    <w:p w14:paraId="28C71A56" w14:textId="77777777" w:rsidR="00C85373" w:rsidRDefault="00C85373" w:rsidP="00C85373">
      <w:pPr>
        <w:pStyle w:val="NormalWeb"/>
        <w:spacing w:before="0" w:beforeAutospacing="0" w:after="0" w:afterAutospacing="0"/>
        <w:rPr>
          <w:color w:val="4A5568"/>
        </w:rPr>
      </w:pPr>
      <w:r>
        <w:rPr>
          <w:color w:val="4A5568"/>
        </w:rPr>
        <w:t>We cultivate meaningful career trajectories for experts, aligning their specialized skills with world-class opportunities.</w:t>
      </w:r>
    </w:p>
    <w:p w14:paraId="794A1A66" w14:textId="77777777" w:rsidR="00C85373" w:rsidRDefault="00C85373" w:rsidP="00C85373">
      <w:pPr>
        <w:pStyle w:val="Heading3"/>
        <w:rPr>
          <w:color w:val="1A202C"/>
        </w:rPr>
      </w:pPr>
      <w:r>
        <w:rPr>
          <w:color w:val="1A202C"/>
        </w:rPr>
        <w:t>Reliable Scalability</w:t>
      </w:r>
    </w:p>
    <w:p w14:paraId="2AE3ADFF" w14:textId="77777777" w:rsidR="00C85373" w:rsidRDefault="00C85373" w:rsidP="00C85373">
      <w:pPr>
        <w:pStyle w:val="NormalWeb"/>
        <w:spacing w:before="0" w:beforeAutospacing="0" w:after="0" w:afterAutospacing="0"/>
        <w:rPr>
          <w:color w:val="4A5568"/>
        </w:rPr>
      </w:pPr>
      <w:r>
        <w:rPr>
          <w:color w:val="4A5568"/>
        </w:rPr>
        <w:t>Our tailored HR augmentation and IT consulting adapt in real-time to your fluctuating project demands and growth cycles.</w:t>
      </w:r>
    </w:p>
    <w:p w14:paraId="7B96DB89" w14:textId="77777777" w:rsidR="00C85373" w:rsidRDefault="00C85373" w:rsidP="00C85373">
      <w:pPr>
        <w:pStyle w:val="Heading3"/>
        <w:rPr>
          <w:color w:val="1A202C"/>
        </w:rPr>
      </w:pPr>
      <w:r>
        <w:rPr>
          <w:color w:val="1A202C"/>
        </w:rPr>
        <w:lastRenderedPageBreak/>
        <w:t>Trusted Partnership</w:t>
      </w:r>
    </w:p>
    <w:p w14:paraId="6571170B" w14:textId="77777777" w:rsidR="00C85373" w:rsidRDefault="00C85373" w:rsidP="00C85373">
      <w:pPr>
        <w:pStyle w:val="NormalWeb"/>
        <w:spacing w:before="0" w:beforeAutospacing="0" w:after="0" w:afterAutospacing="0"/>
        <w:rPr>
          <w:color w:val="4A5568"/>
        </w:rPr>
      </w:pPr>
      <w:r>
        <w:rPr>
          <w:color w:val="4A5568"/>
        </w:rPr>
        <w:t>Beyond staffing, we serve as a long-term strategic ally, committed to technical excellence and operational integrity.</w:t>
      </w:r>
    </w:p>
    <w:p w14:paraId="3E8E0000" w14:textId="77777777" w:rsidR="00C85373" w:rsidRDefault="00C85373" w:rsidP="00C85373">
      <w:pPr>
        <w:pStyle w:val="cta-text"/>
        <w:jc w:val="center"/>
        <w:rPr>
          <w:b/>
          <w:bCs/>
          <w:color w:val="0056B3"/>
        </w:rPr>
      </w:pPr>
      <w:r>
        <w:rPr>
          <w:b/>
          <w:bCs/>
          <w:color w:val="0056B3"/>
        </w:rPr>
        <w:t>Building the Future of Work. Together.</w:t>
      </w:r>
    </w:p>
    <w:p w14:paraId="5D6B7495" w14:textId="77777777" w:rsidR="00C85373" w:rsidRDefault="00C85373" w:rsidP="00C85373">
      <w:pPr>
        <w:spacing w:after="360" w:line="317" w:lineRule="auto"/>
        <w:rPr>
          <w:sz w:val="21"/>
          <w:szCs w:val="21"/>
        </w:rPr>
      </w:pPr>
    </w:p>
    <w:p w14:paraId="26E8091A" w14:textId="77777777" w:rsidR="00C24AE3" w:rsidRDefault="00C24AE3" w:rsidP="00C85373">
      <w:pPr>
        <w:spacing w:after="360" w:line="317" w:lineRule="auto"/>
        <w:rPr>
          <w:sz w:val="21"/>
          <w:szCs w:val="21"/>
        </w:rPr>
      </w:pPr>
    </w:p>
    <w:p w14:paraId="7BE2D2A4" w14:textId="77777777" w:rsidR="00C24AE3" w:rsidRDefault="00C24AE3" w:rsidP="00C85373">
      <w:pPr>
        <w:spacing w:after="360" w:line="317" w:lineRule="auto"/>
        <w:rPr>
          <w:sz w:val="21"/>
          <w:szCs w:val="21"/>
        </w:rPr>
      </w:pPr>
    </w:p>
    <w:p w14:paraId="71966C7D" w14:textId="62858793" w:rsidR="00C24AE3" w:rsidRDefault="00305398" w:rsidP="00C85373">
      <w:pPr>
        <w:spacing w:after="360" w:line="317" w:lineRule="auto"/>
        <w:rPr>
          <w:sz w:val="21"/>
          <w:szCs w:val="21"/>
        </w:rPr>
      </w:pPr>
      <w:r>
        <w:rPr>
          <w:sz w:val="21"/>
          <w:szCs w:val="21"/>
        </w:rPr>
        <w:t>New Page for below services -</w:t>
      </w:r>
    </w:p>
    <w:p w14:paraId="2F5EC866" w14:textId="77777777" w:rsidR="00C85373" w:rsidRDefault="00C85373" w:rsidP="00C85373">
      <w:pPr>
        <w:spacing w:after="360" w:line="317" w:lineRule="auto"/>
        <w:rPr>
          <w:sz w:val="21"/>
          <w:szCs w:val="21"/>
        </w:rPr>
      </w:pPr>
    </w:p>
    <w:p w14:paraId="73094D19" w14:textId="77777777" w:rsidR="00C85373" w:rsidRDefault="00C85373" w:rsidP="00C85373">
      <w:pPr>
        <w:rPr>
          <w:b/>
          <w:bCs/>
        </w:rPr>
      </w:pPr>
      <w:r w:rsidRPr="00C85373">
        <w:rPr>
          <w:b/>
          <w:bCs/>
        </w:rPr>
        <w:t>Temporary Staffing</w:t>
      </w:r>
    </w:p>
    <w:p w14:paraId="556A0957" w14:textId="77777777" w:rsidR="00C24AE3" w:rsidRDefault="00C24AE3" w:rsidP="00C24AE3">
      <w:pPr>
        <w:pStyle w:val="NormalWeb"/>
        <w:rPr>
          <w:rFonts w:ascii="Times" w:hAnsi="Times"/>
          <w:color w:val="000000"/>
        </w:rPr>
      </w:pPr>
      <w:r>
        <w:rPr>
          <w:rFonts w:ascii="Times" w:hAnsi="Times"/>
          <w:color w:val="000000"/>
        </w:rPr>
        <w:t>This service focuses on the rapid deployment of qualified human resources professionals to meet immediate business requirements. It is designed to support organizations facing short-term projects, seasonal spikes in workload, or emergency coverage gaps. By providing skilled personnel on demand, this solution ensures operational continuity without the long-term commitment of a permanent hire.</w:t>
      </w:r>
    </w:p>
    <w:p w14:paraId="5FF52F90" w14:textId="77777777" w:rsidR="00C24AE3" w:rsidRDefault="00C24AE3" w:rsidP="00C24AE3">
      <w:pPr>
        <w:pStyle w:val="Heading3"/>
        <w:rPr>
          <w:rFonts w:ascii="Times" w:hAnsi="Times" w:hint="eastAsia"/>
          <w:color w:val="000000"/>
          <w:spacing w:val="-6"/>
        </w:rPr>
      </w:pPr>
      <w:r>
        <w:rPr>
          <w:rFonts w:ascii="Times" w:hAnsi="Times"/>
          <w:color w:val="000000"/>
          <w:spacing w:val="-6"/>
        </w:rPr>
        <w:t>Contract-to-Hire</w:t>
      </w:r>
    </w:p>
    <w:p w14:paraId="5C2E82CC" w14:textId="77777777" w:rsidR="00C24AE3" w:rsidRDefault="00C24AE3" w:rsidP="00C24AE3">
      <w:pPr>
        <w:pStyle w:val="NormalWeb"/>
        <w:rPr>
          <w:rFonts w:ascii="Times" w:hAnsi="Times"/>
          <w:color w:val="000000"/>
        </w:rPr>
      </w:pPr>
      <w:r>
        <w:rPr>
          <w:rFonts w:ascii="Times" w:hAnsi="Times"/>
          <w:color w:val="000000"/>
        </w:rPr>
        <w:t>The contract-to-hire model allows organizations to evaluate potential permanent employees through initial fixed-term contract arrangements. This approach serves as a practical trial period to assess a candidate's technical performance and ensure a strong cultural fit within the company. By utilizing this service, businesses can significantly reduce hiring risks and make more informed long-term staffing decisions.</w:t>
      </w:r>
    </w:p>
    <w:p w14:paraId="7F5CC3FE" w14:textId="77777777" w:rsidR="00C24AE3" w:rsidRDefault="00C24AE3" w:rsidP="00C24AE3">
      <w:pPr>
        <w:pStyle w:val="Heading3"/>
        <w:rPr>
          <w:rFonts w:ascii="Times" w:hAnsi="Times" w:hint="eastAsia"/>
          <w:color w:val="000000"/>
          <w:spacing w:val="-6"/>
        </w:rPr>
      </w:pPr>
      <w:r>
        <w:rPr>
          <w:rFonts w:ascii="Times" w:hAnsi="Times"/>
          <w:color w:val="000000"/>
          <w:spacing w:val="-6"/>
        </w:rPr>
        <w:t>Project-Based Teams</w:t>
      </w:r>
    </w:p>
    <w:p w14:paraId="24D7D917" w14:textId="77777777" w:rsidR="00C24AE3" w:rsidRDefault="00C24AE3" w:rsidP="00C24AE3">
      <w:pPr>
        <w:pStyle w:val="NormalWeb"/>
        <w:rPr>
          <w:rFonts w:ascii="Times" w:hAnsi="Times"/>
          <w:color w:val="000000"/>
        </w:rPr>
      </w:pPr>
      <w:r>
        <w:rPr>
          <w:rFonts w:ascii="Times" w:hAnsi="Times"/>
          <w:color w:val="000000"/>
        </w:rPr>
        <w:t>This service provides dedicated HR teams that are assembled specifically to manage and execute high-level strategic initiatives. These specialized groups are tailored to handle complex tasks such as large-scale system implementations or significant organizational changes. By leveraging a focused team, companies gain the expert support necessary to drive critical projects to completion effectively and efficiently.</w:t>
      </w:r>
    </w:p>
    <w:p w14:paraId="209FBF13" w14:textId="77777777" w:rsidR="00C24AE3" w:rsidRPr="00C85373" w:rsidRDefault="00C24AE3" w:rsidP="00C85373">
      <w:pPr>
        <w:rPr>
          <w:b/>
          <w:bCs/>
        </w:rPr>
      </w:pPr>
    </w:p>
    <w:p w14:paraId="60A80EE8" w14:textId="77777777" w:rsidR="00C85373" w:rsidRPr="00C85373" w:rsidRDefault="00C85373" w:rsidP="00C85373"/>
    <w:p w14:paraId="31E4A6E2" w14:textId="77777777" w:rsidR="00C85373" w:rsidRPr="00C85373" w:rsidRDefault="00C85373" w:rsidP="00C85373"/>
    <w:sectPr w:rsidR="00C85373" w:rsidRPr="00C85373" w:rsidSect="00034616">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altName w:val="Courier New"/>
    <w:panose1 w:val="02070309020205020404"/>
    <w:charset w:val="00"/>
    <w:family w:val="auto"/>
    <w:pitch w:val="variable"/>
    <w:sig w:usb0="00000003" w:usb1="00000000" w:usb2="00000000" w:usb3="00000000" w:csb0="00000001" w:csb1="00000000"/>
  </w:font>
  <w:font w:name="Inter">
    <w:altName w:val="Cambria"/>
    <w:panose1 w:val="020B0604020202020204"/>
    <w:charset w:val="00"/>
    <w:family w:val="roman"/>
    <w:notTrueType/>
    <w:pitch w:val="default"/>
  </w:font>
  <w:font w:name="Times">
    <w:altName w:val="Times New Roman"/>
    <w:panose1 w:val="020B0604020202020204"/>
    <w:charset w:val="00"/>
    <w:family w:val="roman"/>
    <w:notTrueType/>
    <w:pitch w:val="default"/>
  </w:font>
  <w:font w:name="Outfit">
    <w:altName w:val="Cambria"/>
    <w:panose1 w:val="020B0604020202020204"/>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2022643D"/>
    <w:multiLevelType w:val="multilevel"/>
    <w:tmpl w:val="6D06F7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E885800"/>
    <w:multiLevelType w:val="hybridMultilevel"/>
    <w:tmpl w:val="9BFA5986"/>
    <w:lvl w:ilvl="0" w:tplc="FFDEB63C">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16cid:durableId="516237610">
    <w:abstractNumId w:val="8"/>
  </w:num>
  <w:num w:numId="2" w16cid:durableId="58481517">
    <w:abstractNumId w:val="6"/>
  </w:num>
  <w:num w:numId="3" w16cid:durableId="811219410">
    <w:abstractNumId w:val="5"/>
  </w:num>
  <w:num w:numId="4" w16cid:durableId="1915314256">
    <w:abstractNumId w:val="4"/>
  </w:num>
  <w:num w:numId="5" w16cid:durableId="869799494">
    <w:abstractNumId w:val="7"/>
  </w:num>
  <w:num w:numId="6" w16cid:durableId="509369581">
    <w:abstractNumId w:val="3"/>
  </w:num>
  <w:num w:numId="7" w16cid:durableId="1603103338">
    <w:abstractNumId w:val="2"/>
  </w:num>
  <w:num w:numId="8" w16cid:durableId="862941629">
    <w:abstractNumId w:val="1"/>
  </w:num>
  <w:num w:numId="9" w16cid:durableId="776367881">
    <w:abstractNumId w:val="0"/>
  </w:num>
  <w:num w:numId="10" w16cid:durableId="699209747">
    <w:abstractNumId w:val="9"/>
  </w:num>
  <w:num w:numId="11" w16cid:durableId="109007719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6063C"/>
    <w:rsid w:val="0015074B"/>
    <w:rsid w:val="0029639D"/>
    <w:rsid w:val="00305398"/>
    <w:rsid w:val="00326F90"/>
    <w:rsid w:val="005404DD"/>
    <w:rsid w:val="007E4F6C"/>
    <w:rsid w:val="00A90B5D"/>
    <w:rsid w:val="00A96579"/>
    <w:rsid w:val="00AA1D8D"/>
    <w:rsid w:val="00B47730"/>
    <w:rsid w:val="00C24AE3"/>
    <w:rsid w:val="00C85373"/>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8FE1591"/>
  <w14:defaultImageDpi w14:val="300"/>
  <w15:docId w15:val="{8DBC460B-5A27-124A-9B3D-7001EFE85B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u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u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u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u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u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u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u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u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u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u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u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u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u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u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u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u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u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u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u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u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u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intro-lead">
    <w:name w:val="intro-lead"/>
    <w:basedOn w:val="Normal"/>
    <w:rsid w:val="005404DD"/>
    <w:pPr>
      <w:spacing w:before="100" w:beforeAutospacing="1" w:after="100" w:afterAutospacing="1" w:line="240" w:lineRule="auto"/>
    </w:pPr>
    <w:rPr>
      <w:rFonts w:ascii="Times New Roman" w:eastAsia="Times New Roman" w:hAnsi="Times New Roman" w:cs="Times New Roman"/>
      <w:sz w:val="24"/>
      <w:szCs w:val="24"/>
      <w:lang w:val="en-IN" w:eastAsia="en-GB"/>
    </w:rPr>
  </w:style>
  <w:style w:type="paragraph" w:customStyle="1" w:styleId="service-item">
    <w:name w:val="service-item"/>
    <w:basedOn w:val="Normal"/>
    <w:rsid w:val="005404DD"/>
    <w:pPr>
      <w:spacing w:before="100" w:beforeAutospacing="1" w:after="100" w:afterAutospacing="1" w:line="240" w:lineRule="auto"/>
    </w:pPr>
    <w:rPr>
      <w:rFonts w:ascii="Times New Roman" w:eastAsia="Times New Roman" w:hAnsi="Times New Roman" w:cs="Times New Roman"/>
      <w:sz w:val="24"/>
      <w:szCs w:val="24"/>
      <w:lang w:val="en-IN" w:eastAsia="en-GB"/>
    </w:rPr>
  </w:style>
  <w:style w:type="character" w:customStyle="1" w:styleId="service-name">
    <w:name w:val="service-name"/>
    <w:basedOn w:val="DefaultParagraphFont"/>
    <w:rsid w:val="005404DD"/>
  </w:style>
  <w:style w:type="paragraph" w:customStyle="1" w:styleId="service-value">
    <w:name w:val="service-value"/>
    <w:basedOn w:val="Normal"/>
    <w:rsid w:val="005404DD"/>
    <w:pPr>
      <w:spacing w:before="100" w:beforeAutospacing="1" w:after="100" w:afterAutospacing="1" w:line="240" w:lineRule="auto"/>
    </w:pPr>
    <w:rPr>
      <w:rFonts w:ascii="Times New Roman" w:eastAsia="Times New Roman" w:hAnsi="Times New Roman" w:cs="Times New Roman"/>
      <w:sz w:val="24"/>
      <w:szCs w:val="24"/>
      <w:lang w:val="en-IN" w:eastAsia="en-GB"/>
    </w:rPr>
  </w:style>
  <w:style w:type="character" w:customStyle="1" w:styleId="label">
    <w:name w:val="label"/>
    <w:basedOn w:val="DefaultParagraphFont"/>
    <w:rsid w:val="00C85373"/>
  </w:style>
  <w:style w:type="paragraph" w:styleId="NormalWeb">
    <w:name w:val="Normal (Web)"/>
    <w:basedOn w:val="Normal"/>
    <w:uiPriority w:val="99"/>
    <w:semiHidden/>
    <w:unhideWhenUsed/>
    <w:rsid w:val="00C85373"/>
    <w:pPr>
      <w:spacing w:before="100" w:beforeAutospacing="1" w:after="100" w:afterAutospacing="1" w:line="240" w:lineRule="auto"/>
    </w:pPr>
    <w:rPr>
      <w:rFonts w:ascii="Times New Roman" w:eastAsia="Times New Roman" w:hAnsi="Times New Roman" w:cs="Times New Roman"/>
      <w:sz w:val="24"/>
      <w:szCs w:val="24"/>
      <w:lang w:val="en-IN" w:eastAsia="en-GB"/>
    </w:rPr>
  </w:style>
  <w:style w:type="paragraph" w:customStyle="1" w:styleId="cta-text">
    <w:name w:val="cta-text"/>
    <w:basedOn w:val="Normal"/>
    <w:rsid w:val="00C85373"/>
    <w:pPr>
      <w:spacing w:before="100" w:beforeAutospacing="1" w:after="100" w:afterAutospacing="1" w:line="240" w:lineRule="auto"/>
    </w:pPr>
    <w:rPr>
      <w:rFonts w:ascii="Times New Roman" w:eastAsia="Times New Roman" w:hAnsi="Times New Roman" w:cs="Times New Roman"/>
      <w:sz w:val="24"/>
      <w:szCs w:val="24"/>
      <w:lang w:val="en-IN" w:eastAsia="en-GB"/>
    </w:rPr>
  </w:style>
  <w:style w:type="paragraph" w:customStyle="1" w:styleId="editor-empty-block">
    <w:name w:val="editor-empty-block"/>
    <w:basedOn w:val="Normal"/>
    <w:rsid w:val="00305398"/>
    <w:pPr>
      <w:spacing w:before="100" w:beforeAutospacing="1" w:after="100" w:afterAutospacing="1" w:line="240" w:lineRule="auto"/>
    </w:pPr>
    <w:rPr>
      <w:rFonts w:ascii="Times New Roman" w:eastAsia="Times New Roman" w:hAnsi="Times New Roman" w:cs="Times New Roman"/>
      <w:sz w:val="24"/>
      <w:szCs w:val="24"/>
      <w:lang w:val="en-IN"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837</Words>
  <Characters>5627</Characters>
  <Application>Microsoft Office Word</Application>
  <DocSecurity>0</DocSecurity>
  <Lines>113</Lines>
  <Paragraphs>43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6430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Test</cp:lastModifiedBy>
  <cp:revision>2</cp:revision>
  <dcterms:created xsi:type="dcterms:W3CDTF">2026-03-31T18:18:00Z</dcterms:created>
  <dcterms:modified xsi:type="dcterms:W3CDTF">2026-03-31T18:18:00Z</dcterms:modified>
  <cp:category/>
</cp:coreProperties>
</file>